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589" w:type="dxa"/>
        <w:tblInd w:w="-1134" w:type="dxa"/>
        <w:tblLook w:val="01E0" w:firstRow="1" w:lastRow="1" w:firstColumn="1" w:lastColumn="1" w:noHBand="0" w:noVBand="0"/>
      </w:tblPr>
      <w:tblGrid>
        <w:gridCol w:w="4678"/>
        <w:gridCol w:w="284"/>
        <w:gridCol w:w="5812"/>
        <w:gridCol w:w="815"/>
      </w:tblGrid>
      <w:tr w:rsidR="005D64F6">
        <w:trPr>
          <w:gridAfter w:val="1"/>
          <w:wAfter w:w="815" w:type="dxa"/>
        </w:trPr>
        <w:tc>
          <w:tcPr>
            <w:tcW w:w="4962" w:type="dxa"/>
            <w:gridSpan w:val="2"/>
          </w:tcPr>
          <w:p w:rsidR="005D64F6" w:rsidRDefault="00F60F3F">
            <w:pPr>
              <w:ind w:left="-250"/>
              <w:jc w:val="center"/>
              <w:rPr>
                <w:sz w:val="26"/>
                <w:szCs w:val="26"/>
              </w:rPr>
            </w:pPr>
            <w:bookmarkStart w:id="0" w:name="_Hlk178412158"/>
            <w:r>
              <w:rPr>
                <w:sz w:val="26"/>
                <w:szCs w:val="26"/>
              </w:rPr>
              <w:t xml:space="preserve">  UBND TỈNH HÀ TĨNH</w:t>
            </w:r>
          </w:p>
          <w:p w:rsidR="005D64F6" w:rsidRDefault="00F60F3F">
            <w:pPr>
              <w:ind w:left="141" w:hanging="283"/>
              <w:jc w:val="center"/>
              <w:rPr>
                <w:b/>
                <w:sz w:val="26"/>
                <w:szCs w:val="26"/>
              </w:rPr>
            </w:pPr>
            <w:r>
              <w:rPr>
                <w:b/>
                <w:sz w:val="26"/>
                <w:szCs w:val="26"/>
              </w:rPr>
              <w:t xml:space="preserve">    SỞ NÔNG NGHIỆP VÀ MÔI TRƯỜNG</w:t>
            </w:r>
          </w:p>
          <w:p w:rsidR="005D64F6" w:rsidRDefault="00F60F3F">
            <w:pPr>
              <w:ind w:left="-250"/>
              <w:jc w:val="center"/>
              <w:rPr>
                <w:b/>
                <w:szCs w:val="26"/>
              </w:rPr>
            </w:pPr>
            <w:r>
              <w:rPr>
                <w:b/>
                <w:noProof/>
                <w:szCs w:val="26"/>
              </w:rPr>
              <mc:AlternateContent>
                <mc:Choice Requires="wps">
                  <w:drawing>
                    <wp:anchor distT="0" distB="0" distL="114300" distR="114300" simplePos="0" relativeHeight="251661824" behindDoc="0" locked="0" layoutInCell="1" allowOverlap="1">
                      <wp:simplePos x="0" y="0"/>
                      <wp:positionH relativeFrom="column">
                        <wp:posOffset>931545</wp:posOffset>
                      </wp:positionH>
                      <wp:positionV relativeFrom="paragraph">
                        <wp:posOffset>25400</wp:posOffset>
                      </wp:positionV>
                      <wp:extent cx="1143000" cy="0"/>
                      <wp:effectExtent l="0" t="0" r="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526EDFA" id="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2pt" to="163.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">
                      <o:lock v:ext="edit" shapetype="f"/>
                    </v:line>
                  </w:pict>
                </mc:Fallback>
              </mc:AlternateContent>
            </w:r>
          </w:p>
        </w:tc>
        <w:tc>
          <w:tcPr>
            <w:tcW w:w="5812" w:type="dxa"/>
          </w:tcPr>
          <w:p w:rsidR="005D64F6" w:rsidRDefault="00F60F3F">
            <w:pPr>
              <w:ind w:right="-491"/>
              <w:rPr>
                <w:b/>
                <w:sz w:val="26"/>
                <w:szCs w:val="26"/>
              </w:rPr>
            </w:pPr>
            <w:r>
              <w:rPr>
                <w:b/>
                <w:sz w:val="26"/>
                <w:szCs w:val="26"/>
              </w:rPr>
              <w:t>CỘNG HÒA XÃ HỘI CHỦ NGHĨA VIỆT NAM</w:t>
            </w:r>
          </w:p>
          <w:p w:rsidR="005D64F6" w:rsidRDefault="00F60F3F">
            <w:pPr>
              <w:jc w:val="center"/>
              <w:rPr>
                <w:b/>
                <w:szCs w:val="26"/>
              </w:rPr>
            </w:pPr>
            <w:r>
              <w:rPr>
                <w:b/>
                <w:szCs w:val="26"/>
              </w:rPr>
              <w:t>Độc lập - Tự do - Hạnh phúc</w:t>
            </w:r>
          </w:p>
          <w:p w:rsidR="005D64F6" w:rsidRDefault="00F60F3F">
            <w:pPr>
              <w:rPr>
                <w:b/>
                <w:szCs w:val="26"/>
              </w:rPr>
            </w:pPr>
            <w:r>
              <w:rPr>
                <w:noProof/>
                <w:szCs w:val="26"/>
              </w:rPr>
              <mc:AlternateContent>
                <mc:Choice Requires="wps">
                  <w:drawing>
                    <wp:anchor distT="0" distB="0" distL="114300" distR="114300" simplePos="0" relativeHeight="251660800" behindDoc="0" locked="0" layoutInCell="1" allowOverlap="1">
                      <wp:simplePos x="0" y="0"/>
                      <wp:positionH relativeFrom="column">
                        <wp:posOffset>765810</wp:posOffset>
                      </wp:positionH>
                      <wp:positionV relativeFrom="paragraph">
                        <wp:posOffset>5301</wp:posOffset>
                      </wp:positionV>
                      <wp:extent cx="2065020" cy="0"/>
                      <wp:effectExtent l="0" t="0" r="11430" b="1905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65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42B1780" id="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4pt" to="222.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">
                      <o:lock v:ext="edit" shapetype="f"/>
                    </v:line>
                  </w:pict>
                </mc:Fallback>
              </mc:AlternateContent>
            </w:r>
          </w:p>
        </w:tc>
      </w:tr>
      <w:tr w:rsidR="005D64F6">
        <w:tc>
          <w:tcPr>
            <w:tcW w:w="4678" w:type="dxa"/>
          </w:tcPr>
          <w:p w:rsidR="005D64F6" w:rsidRDefault="00F60F3F">
            <w:pPr>
              <w:spacing w:before="120" w:line="288" w:lineRule="auto"/>
              <w:ind w:left="33"/>
              <w:jc w:val="center"/>
              <w:rPr>
                <w:sz w:val="26"/>
                <w:szCs w:val="26"/>
              </w:rPr>
            </w:pPr>
            <w:r>
              <w:rPr>
                <w:szCs w:val="28"/>
              </w:rPr>
              <w:t xml:space="preserve">  </w:t>
            </w:r>
            <w:r>
              <w:rPr>
                <w:sz w:val="26"/>
                <w:szCs w:val="26"/>
              </w:rPr>
              <w:t xml:space="preserve">Số:          /TTr-SNNMT </w:t>
            </w:r>
          </w:p>
        </w:tc>
        <w:tc>
          <w:tcPr>
            <w:tcW w:w="6911" w:type="dxa"/>
            <w:gridSpan w:val="3"/>
          </w:tcPr>
          <w:p w:rsidR="005D64F6" w:rsidRDefault="00F60F3F">
            <w:pPr>
              <w:spacing w:before="120"/>
              <w:ind w:left="176" w:right="34"/>
              <w:rPr>
                <w:b/>
                <w:i/>
                <w:szCs w:val="26"/>
              </w:rPr>
            </w:pPr>
            <w:r>
              <w:rPr>
                <w:i/>
                <w:szCs w:val="26"/>
              </w:rPr>
              <w:t xml:space="preserve">               Hà Tĩnh, ngày       tháng 6 năm 2026</w:t>
            </w:r>
          </w:p>
        </w:tc>
      </w:tr>
      <w:bookmarkEnd w:id="0"/>
    </w:tbl>
    <w:p w:rsidR="005D64F6" w:rsidRDefault="005D64F6">
      <w:pPr>
        <w:shd w:val="clear" w:color="auto" w:fill="FFFFFF"/>
        <w:spacing w:before="120" w:after="120" w:line="234" w:lineRule="atLeast"/>
        <w:rPr>
          <w:b/>
          <w:bCs/>
        </w:rPr>
      </w:pPr>
    </w:p>
    <w:p w:rsidR="005D64F6" w:rsidRDefault="00F60F3F">
      <w:pPr>
        <w:shd w:val="clear" w:color="auto" w:fill="FFFFFF"/>
        <w:spacing w:before="120" w:after="120" w:line="234" w:lineRule="atLeast"/>
        <w:jc w:val="center"/>
      </w:pPr>
      <w:r>
        <w:rPr>
          <w:b/>
          <w:bCs/>
          <w:lang w:val="vi-VN"/>
        </w:rPr>
        <w:t>TỜ TRÌNH</w:t>
      </w:r>
    </w:p>
    <w:p w:rsidR="005D64F6" w:rsidRDefault="00F60F3F">
      <w:pPr>
        <w:pStyle w:val="qowt-stl-normal"/>
        <w:spacing w:before="0" w:beforeAutospacing="0" w:after="0" w:afterAutospacing="0"/>
        <w:jc w:val="center"/>
        <w:rPr>
          <w:b/>
          <w:sz w:val="28"/>
          <w:szCs w:val="28"/>
        </w:rPr>
      </w:pPr>
      <w:r>
        <w:rPr>
          <w:b/>
          <w:sz w:val="28"/>
          <w:szCs w:val="28"/>
        </w:rPr>
        <w:t>Dự thảo Quyết định quy định hệ số điều chỉnh</w:t>
      </w:r>
      <w:r>
        <w:rPr>
          <w:b/>
          <w:sz w:val="28"/>
          <w:szCs w:val="28"/>
        </w:rPr>
        <w:t xml:space="preserve"> giá đất năm 2026</w:t>
      </w:r>
    </w:p>
    <w:p w:rsidR="005D64F6" w:rsidRDefault="00F60F3F">
      <w:pPr>
        <w:pStyle w:val="qowt-stl-normal"/>
        <w:spacing w:before="0" w:beforeAutospacing="0" w:after="0" w:afterAutospacing="0"/>
        <w:jc w:val="center"/>
        <w:rPr>
          <w:b/>
          <w:sz w:val="28"/>
          <w:szCs w:val="28"/>
        </w:rPr>
      </w:pPr>
      <w:r>
        <w:rPr>
          <w:b/>
          <w:sz w:val="28"/>
          <w:szCs w:val="28"/>
        </w:rPr>
        <w:t xml:space="preserve"> trên địa bàn tỉnh Hà Tĩnh</w:t>
      </w:r>
    </w:p>
    <w:p w:rsidR="005D64F6" w:rsidRDefault="00F60F3F">
      <w:pPr>
        <w:jc w:val="center"/>
        <w:rPr>
          <w:b/>
          <w:bCs/>
          <w:spacing w:val="-6"/>
          <w:lang w:val="vi-VN"/>
        </w:rPr>
      </w:pPr>
      <w:r>
        <w:rPr>
          <w:noProof/>
        </w:rPr>
        <mc:AlternateContent>
          <mc:Choice Requires="wps">
            <w:drawing>
              <wp:anchor distT="0" distB="0" distL="114300" distR="114300" simplePos="0" relativeHeight="251658752" behindDoc="0" locked="0" layoutInCell="1" allowOverlap="1">
                <wp:simplePos x="0" y="0"/>
                <wp:positionH relativeFrom="margin">
                  <wp:posOffset>2252345</wp:posOffset>
                </wp:positionH>
                <wp:positionV relativeFrom="paragraph">
                  <wp:posOffset>37161</wp:posOffset>
                </wp:positionV>
                <wp:extent cx="1248354" cy="5004"/>
                <wp:effectExtent l="0" t="0" r="28575" b="33655"/>
                <wp:wrapNone/>
                <wp:docPr id="5" name="Straight Connector 5"/>
                <wp:cNvGraphicFramePr/>
                <a:graphic xmlns:a="http://schemas.openxmlformats.org/drawingml/2006/main">
                  <a:graphicData uri="http://schemas.microsoft.com/office/word/2010/wordprocessingShape">
                    <wps:wsp>
                      <wps:cNvCnPr/>
                      <wps:spPr>
                        <a:xfrm flipH="1">
                          <a:off x="0" y="0"/>
                          <a:ext cx="1248354" cy="50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4AEC3B1" id="Straight Connector 5" o:spid="_x0000_s1026" style="position:absolute;flip:x;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7.35pt,2.95pt" to="275.6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" strokecolor="black [3200]" strokeweight=".5pt">
                <v:stroke joinstyle="miter"/>
                <w10:wrap anchorx="margin"/>
              </v:line>
            </w:pict>
          </mc:Fallback>
        </mc:AlternateContent>
      </w:r>
      <w:r>
        <w:rPr>
          <w:b/>
        </w:rPr>
        <w:t>  </w:t>
      </w:r>
    </w:p>
    <w:p w:rsidR="005D64F6" w:rsidRDefault="005D64F6">
      <w:pPr>
        <w:jc w:val="center"/>
        <w:rPr>
          <w:b/>
          <w:sz w:val="27"/>
          <w:szCs w:val="27"/>
        </w:rPr>
      </w:pPr>
    </w:p>
    <w:p w:rsidR="005D64F6" w:rsidRDefault="00F60F3F">
      <w:pPr>
        <w:shd w:val="clear" w:color="auto" w:fill="FFFFFF"/>
        <w:spacing w:line="234" w:lineRule="atLeast"/>
        <w:jc w:val="center"/>
      </w:pPr>
      <w:r>
        <w:rPr>
          <w:bCs/>
          <w:position w:val="-2"/>
        </w:rPr>
        <w:t>Kính gửi: Ủy ban nhân dân tỉnh</w:t>
      </w:r>
    </w:p>
    <w:p w:rsidR="00454B65" w:rsidRDefault="00454B65" w:rsidP="00B21280">
      <w:pPr>
        <w:jc w:val="both"/>
        <w:rPr>
          <w:i/>
          <w:szCs w:val="28"/>
        </w:rPr>
      </w:pPr>
      <w:r>
        <w:rPr>
          <w:i/>
          <w:szCs w:val="28"/>
        </w:rPr>
        <w:tab/>
      </w:r>
      <w:r>
        <w:rPr>
          <w:i/>
          <w:szCs w:val="28"/>
        </w:rPr>
        <w:t>Căn cứ Luật Tổ chức chính quyền địa phương số 72/2025/QH15;</w:t>
      </w:r>
    </w:p>
    <w:p w:rsidR="00454B65" w:rsidRDefault="00454B65" w:rsidP="00B21280">
      <w:pPr>
        <w:jc w:val="both"/>
        <w:rPr>
          <w:i/>
          <w:szCs w:val="28"/>
        </w:rPr>
      </w:pPr>
      <w:r>
        <w:rPr>
          <w:i/>
          <w:szCs w:val="28"/>
        </w:rPr>
        <w:tab/>
        <w:t>Thực hiện Luật Ban hành văn bản quy phạm pháp luật số 64/2025/QH15 đã được sửa đổi, bổ sung một số điều theo Luật số 87/2025/QH15;</w:t>
      </w:r>
    </w:p>
    <w:p w:rsidR="00454B65" w:rsidRDefault="00454B65" w:rsidP="00B21280">
      <w:pPr>
        <w:jc w:val="both"/>
        <w:rPr>
          <w:i/>
          <w:szCs w:val="28"/>
        </w:rPr>
      </w:pPr>
      <w:r>
        <w:rPr>
          <w:i/>
          <w:szCs w:val="28"/>
        </w:rPr>
        <w:tab/>
        <w:t xml:space="preserve">Căn cứ Luật Đất đai số 31/2024/QH15 được sửa đổi, bổ sung một số điều bởi các Luật số 43/2024/QH15, số 47/2024/QH15, số 58/2024/QH15, số 71/2025/QH15, số 84/2025/QH15, số 93/2025/QH15, số 95/2025/QH15, số 146/2025/QH15 và số 147/2025/QH15; </w:t>
      </w:r>
    </w:p>
    <w:p w:rsidR="00454B65" w:rsidRDefault="00454B65" w:rsidP="00B21280">
      <w:pPr>
        <w:jc w:val="both"/>
        <w:rPr>
          <w:i/>
          <w:szCs w:val="28"/>
        </w:rPr>
      </w:pPr>
      <w:r>
        <w:rPr>
          <w:i/>
          <w:szCs w:val="28"/>
        </w:rPr>
        <w:tab/>
        <w:t>Căn cứ Nghị quyết số 254/2025/QH15 của Quốc hội quy định một số cơ chế, chính sách tháo gỡ khó khăn, vướng mắc trong tổ chức thi hành Luật Đất đai;</w:t>
      </w:r>
    </w:p>
    <w:p w:rsidR="00454B65" w:rsidRPr="00454B65" w:rsidRDefault="00454B65" w:rsidP="00B21280">
      <w:pPr>
        <w:jc w:val="both"/>
        <w:rPr>
          <w:i/>
        </w:rPr>
      </w:pPr>
      <w:r>
        <w:rPr>
          <w:i/>
        </w:rPr>
        <w:t xml:space="preserve"> </w:t>
      </w:r>
      <w:r>
        <w:rPr>
          <w:i/>
        </w:rPr>
        <w:tab/>
        <w:t>Căn cứ Nghị định số 49/2026/NĐ-CP của Chính phủ quy định chi tiết và hướng dẫn một số điều của Nghị quyết số 254/2025/QH15 của Quốc hội quy định một số cơ chế, chính sách tháo gỡ khó khăn, vướng mắc trong tổ chức thi hành Luật Đất đai.</w:t>
      </w:r>
    </w:p>
    <w:p w:rsidR="005D64F6" w:rsidRDefault="00454B65" w:rsidP="00B21280">
      <w:pPr>
        <w:jc w:val="both"/>
        <w:rPr>
          <w:bCs/>
        </w:rPr>
      </w:pPr>
      <w:r>
        <w:rPr>
          <w:bCs/>
        </w:rPr>
        <w:tab/>
      </w:r>
      <w:r w:rsidR="00F60F3F">
        <w:rPr>
          <w:bCs/>
        </w:rPr>
        <w:t xml:space="preserve"> Sở Nông nghiệp và Môi trường kính trình Ủy ban nhân dân tỉnh dự thảo Quyết định quy định hệ số điều chỉnh </w:t>
      </w:r>
      <w:r w:rsidR="00F60F3F">
        <w:rPr>
          <w:bCs/>
        </w:rPr>
        <w:t>giá đất năm 2026 trên địa bàn tỉnh Hà Tĩnh như sau:</w:t>
      </w:r>
    </w:p>
    <w:p w:rsidR="005D64F6" w:rsidRDefault="00F60F3F" w:rsidP="00B21280">
      <w:pPr>
        <w:ind w:firstLine="720"/>
        <w:jc w:val="both"/>
        <w:rPr>
          <w:b/>
          <w:lang w:eastAsia="vi-VN"/>
        </w:rPr>
      </w:pPr>
      <w:r>
        <w:rPr>
          <w:b/>
          <w:lang w:eastAsia="vi-VN"/>
        </w:rPr>
        <w:t>I. SỰ CẦN THIẾT BAN HÀNH QUYẾT ĐỊNH</w:t>
      </w:r>
    </w:p>
    <w:p w:rsidR="005D64F6" w:rsidRDefault="00F60F3F" w:rsidP="00B21280">
      <w:pPr>
        <w:widowControl w:val="0"/>
        <w:ind w:firstLine="720"/>
        <w:jc w:val="both"/>
        <w:rPr>
          <w:b/>
          <w:i/>
          <w:iCs/>
        </w:rPr>
      </w:pPr>
      <w:r>
        <w:rPr>
          <w:b/>
          <w:i/>
          <w:iCs/>
        </w:rPr>
        <w:t>1. Cơ sở chính trị, pháp lý</w:t>
      </w:r>
    </w:p>
    <w:p w:rsidR="005D64F6" w:rsidRDefault="00F60F3F" w:rsidP="00B21280">
      <w:pPr>
        <w:widowControl w:val="0"/>
        <w:ind w:firstLine="720"/>
        <w:jc w:val="both"/>
        <w:rPr>
          <w:bCs/>
        </w:rPr>
      </w:pPr>
      <w:r>
        <w:rPr>
          <w:bCs/>
        </w:rPr>
        <w:t xml:space="preserve">Căn cứ quy định Điều 8 Nghị quyết số 254/2025/QH15 ngày 11/12/2025 của Quốc hội quy định một số cơ chế, chính sách tháo gỡ khó khăn, vướng </w:t>
      </w:r>
      <w:r>
        <w:rPr>
          <w:bCs/>
        </w:rPr>
        <w:t>mắc trong tổ chức thi hành Luật Đất đai:</w:t>
      </w:r>
    </w:p>
    <w:p w:rsidR="005D64F6" w:rsidRDefault="00F60F3F" w:rsidP="00B21280">
      <w:pPr>
        <w:widowControl w:val="0"/>
        <w:ind w:firstLine="720"/>
        <w:jc w:val="both"/>
        <w:rPr>
          <w:b/>
          <w:i/>
          <w:iCs/>
        </w:rPr>
      </w:pPr>
      <w:r>
        <w:rPr>
          <w:b/>
          <w:i/>
          <w:iCs/>
        </w:rPr>
        <w:t>“Điều 8. Hệ số điều chỉnh giá đất</w:t>
      </w:r>
    </w:p>
    <w:p w:rsidR="005D64F6" w:rsidRDefault="00F60F3F" w:rsidP="00B21280">
      <w:pPr>
        <w:widowControl w:val="0"/>
        <w:ind w:firstLine="720"/>
        <w:jc w:val="both"/>
        <w:rPr>
          <w:bCs/>
          <w:i/>
          <w:iCs/>
        </w:rPr>
      </w:pPr>
      <w:r>
        <w:rPr>
          <w:bCs/>
          <w:i/>
          <w:iCs/>
        </w:rPr>
        <w:t>1. Hệ số điều chỉnh giá đất là tỷ lệ tăng, giảm giá đất của các loại đất tương ứng với khu vực, vị trí được quy định trong bảng giá đất.</w:t>
      </w:r>
    </w:p>
    <w:p w:rsidR="005D64F6" w:rsidRDefault="00F60F3F" w:rsidP="00B21280">
      <w:pPr>
        <w:widowControl w:val="0"/>
        <w:ind w:firstLine="720"/>
        <w:jc w:val="both"/>
        <w:rPr>
          <w:bCs/>
          <w:i/>
          <w:iCs/>
        </w:rPr>
      </w:pPr>
      <w:r>
        <w:rPr>
          <w:bCs/>
          <w:i/>
          <w:iCs/>
        </w:rPr>
        <w:t>2. Ủy ban nhân dân cấp tỉnh quyết định ban h</w:t>
      </w:r>
      <w:r>
        <w:rPr>
          <w:bCs/>
          <w:i/>
          <w:iCs/>
        </w:rPr>
        <w:t>ành hệ số điều chỉnh giá đất áp dụng từ ngày 01 tháng 01 hằng năm; trường hợp cần thiết, Ủy ban nhân dân cấp tỉnh quyết định sửa đổi, bổ sung hệ số điều chỉnh giá đất trong năm hoặc cho từng khu vực, vị trí để áp dụng.</w:t>
      </w:r>
    </w:p>
    <w:p w:rsidR="005D64F6" w:rsidRDefault="00F60F3F" w:rsidP="00B21280">
      <w:pPr>
        <w:widowControl w:val="0"/>
        <w:ind w:firstLine="720"/>
        <w:jc w:val="both"/>
        <w:rPr>
          <w:bCs/>
          <w:i/>
          <w:iCs/>
        </w:rPr>
      </w:pPr>
      <w:r>
        <w:rPr>
          <w:bCs/>
          <w:i/>
          <w:iCs/>
        </w:rPr>
        <w:t>3. Chính phủ quy định chi tiết Điều n</w:t>
      </w:r>
      <w:r>
        <w:rPr>
          <w:bCs/>
          <w:i/>
          <w:iCs/>
        </w:rPr>
        <w:t>ày.”</w:t>
      </w:r>
    </w:p>
    <w:p w:rsidR="005D64F6" w:rsidRDefault="00F60F3F" w:rsidP="00B21280">
      <w:pPr>
        <w:widowControl w:val="0"/>
        <w:ind w:firstLine="720"/>
        <w:jc w:val="both"/>
        <w:rPr>
          <w:bCs/>
        </w:rPr>
      </w:pPr>
      <w:r>
        <w:rPr>
          <w:bCs/>
        </w:rPr>
        <w:t xml:space="preserve">Căn cứ Nghị định số 49/2026/NĐ-CP ngày 31/01/2026 của Chính phủ quy định chi tiết và hướng dẫn một số điều của Nghị quyết số 254/2025/QH15 của </w:t>
      </w:r>
      <w:r>
        <w:rPr>
          <w:bCs/>
        </w:rPr>
        <w:lastRenderedPageBreak/>
        <w:t>Quốc hội quy định một số cơ chế, chính sách tháo gỡ khó khăn, vướng mắc trong tổ chức thi hành Luật Đất đai,</w:t>
      </w:r>
      <w:r>
        <w:rPr>
          <w:bCs/>
        </w:rPr>
        <w:t xml:space="preserve"> trong đó, tại Điều 8, khoản 2 Mục III Phụ lục ban hành kèm theo hướng dẫn về trình tự, thủ tục xây dựng hệ số điều chỉnh giá đất.</w:t>
      </w:r>
    </w:p>
    <w:p w:rsidR="005D64F6" w:rsidRDefault="00F60F3F" w:rsidP="00B21280">
      <w:pPr>
        <w:widowControl w:val="0"/>
        <w:ind w:firstLine="720"/>
        <w:jc w:val="both"/>
      </w:pPr>
      <w:r>
        <w:t>Căn cứ điểm a khoản 1 Điều 21 Luật Ban hành văn bản quy phạm pháp luật (được sửa đổi, bổ sung tại khoản 3 Điều 1 Luật sửa đổi</w:t>
      </w:r>
      <w:r>
        <w:t>, bổ sung một số điều Luật Ban hành văn bản quy phạm pháp luật) thì Hội đồng nhân dân cấp tỉnh ban hành Nghị quyết để quy định “</w:t>
      </w:r>
      <w:r>
        <w:rPr>
          <w:i/>
        </w:rPr>
        <w:t>Chi tiết điều, khoản, điểm và các nội dung khác được giao trong văn bản quy phạm pháp luật của cơ quan nhà nước cấp trên</w:t>
      </w:r>
      <w:r>
        <w:t xml:space="preserve">.” </w:t>
      </w:r>
    </w:p>
    <w:p w:rsidR="005D64F6" w:rsidRDefault="00F60F3F" w:rsidP="00B21280">
      <w:pPr>
        <w:widowControl w:val="0"/>
        <w:ind w:firstLine="720"/>
        <w:jc w:val="both"/>
        <w:rPr>
          <w:bCs/>
        </w:rPr>
      </w:pPr>
      <w:r>
        <w:t xml:space="preserve">Căn </w:t>
      </w:r>
      <w:r>
        <w:t>cứ các quy định nêu trên, việc tham mưu Ủy ban nhân dân tỉnh ban hành Quyết định “</w:t>
      </w:r>
      <w:r>
        <w:rPr>
          <w:i/>
          <w:szCs w:val="28"/>
        </w:rPr>
        <w:t>quy định hệ số điều chỉnh giá đất năm 2026 trên địa bàn tỉnh Hà Tĩnh</w:t>
      </w:r>
      <w:r>
        <w:t>” là phù hợp thẩm quyền, đúng quy định của pháp luật.</w:t>
      </w:r>
    </w:p>
    <w:p w:rsidR="005D64F6" w:rsidRDefault="00F60F3F" w:rsidP="00B21280">
      <w:pPr>
        <w:pStyle w:val="NormalWeb"/>
        <w:spacing w:before="0" w:beforeAutospacing="0" w:after="0" w:afterAutospacing="0"/>
        <w:ind w:firstLine="720"/>
        <w:jc w:val="both"/>
        <w:rPr>
          <w:b/>
          <w:i/>
          <w:iCs/>
          <w:sz w:val="28"/>
          <w:szCs w:val="28"/>
          <w:lang w:val="sv-SE"/>
        </w:rPr>
      </w:pPr>
      <w:r>
        <w:rPr>
          <w:b/>
          <w:i/>
          <w:iCs/>
          <w:sz w:val="28"/>
          <w:szCs w:val="28"/>
          <w:lang w:val="sv-SE"/>
        </w:rPr>
        <w:t xml:space="preserve">2. Cơ sở thực tiễn: </w:t>
      </w:r>
    </w:p>
    <w:p w:rsidR="005D64F6" w:rsidRDefault="00F60F3F" w:rsidP="00B21280">
      <w:pPr>
        <w:widowControl w:val="0"/>
        <w:ind w:firstLine="720"/>
        <w:jc w:val="both"/>
        <w:rPr>
          <w:bCs/>
          <w:i/>
          <w:iCs/>
        </w:rPr>
      </w:pPr>
      <w:r>
        <w:rPr>
          <w:bCs/>
        </w:rPr>
        <w:t>Căn cứ quy định tại Điều 5 Nghị</w:t>
      </w:r>
      <w:r>
        <w:rPr>
          <w:bCs/>
        </w:rPr>
        <w:t xml:space="preserve"> quyết số 254/2025/QH15 ngày 11/12/2025 của Quốc hội thì hệ số điều chỉnh giá đất là một trong các căn cứ để tính tiền sử dụng đất, tính tiền bồi thường khi Nhà nước thu hồi đất....Và tại khoản 5 Điều 7 Nghị quyết số 254/2025/QH15 quy định: </w:t>
      </w:r>
      <w:r>
        <w:rPr>
          <w:bCs/>
          <w:i/>
          <w:iCs/>
        </w:rPr>
        <w:t>“Cơ quan, người</w:t>
      </w:r>
      <w:r>
        <w:rPr>
          <w:bCs/>
          <w:i/>
          <w:iCs/>
        </w:rPr>
        <w:t xml:space="preserve"> có thẩm quyền phải ban hành đầy đủ căn cứ để tính tiền sử dụng đất, tiền thuê đất, tiền bồi thường về đất theo quy định của Nghị quyết này chậm nhất đến ngày 01 tháng 7 năm 2026; trong thời gian chưa đủ các căn cứ để tính tiền sử dụng đất, tiền thuê đất, </w:t>
      </w:r>
      <w:r>
        <w:rPr>
          <w:bCs/>
          <w:i/>
          <w:iCs/>
        </w:rPr>
        <w:t>tiền bồi thường về đất quy định tại các khoản 1, 2 và 3 Điều 5 của Nghị quyết này thì việc tính tiền sử dụng đất, tiền thuê đất, tiền bồi thường về đất thực hiện theo quy định của Luật Đất đai”.</w:t>
      </w:r>
    </w:p>
    <w:p w:rsidR="005D64F6" w:rsidRDefault="00F60F3F" w:rsidP="00B21280">
      <w:pPr>
        <w:widowControl w:val="0"/>
        <w:ind w:firstLine="567"/>
        <w:jc w:val="both"/>
        <w:rPr>
          <w:spacing w:val="-2"/>
          <w:szCs w:val="28"/>
          <w:lang w:val="pt-BR"/>
        </w:rPr>
      </w:pPr>
      <w:r>
        <w:rPr>
          <w:spacing w:val="-2"/>
          <w:szCs w:val="28"/>
          <w:lang w:val="pt-BR"/>
        </w:rPr>
        <w:t>Do vậy, nhằm đồng bộ chính sách, đẩy nhanh thực hiện các dự á</w:t>
      </w:r>
      <w:r>
        <w:rPr>
          <w:spacing w:val="-2"/>
          <w:szCs w:val="28"/>
          <w:lang w:val="pt-BR"/>
        </w:rPr>
        <w:t xml:space="preserve">n đầu tư có sử dụng đất, phát huy nguồn lực đất đai, nâng cao hiệu quả sử dụng đất, phát triển hạ tầng kinh tế - xã hội trên địa bàn tỉnh việc xây dựng hệ số điều chỉnh giá đất để </w:t>
      </w:r>
      <w:r>
        <w:rPr>
          <w:rFonts w:eastAsia="Calibri"/>
          <w:szCs w:val="28"/>
        </w:rPr>
        <w:t>làm căn c</w:t>
      </w:r>
      <w:r>
        <w:rPr>
          <w:rFonts w:eastAsia="Calibri"/>
          <w:szCs w:val="28"/>
        </w:rPr>
        <w:t>ứ</w:t>
      </w:r>
      <w:r>
        <w:rPr>
          <w:rFonts w:eastAsia="Calibri"/>
          <w:szCs w:val="28"/>
        </w:rPr>
        <w:t xml:space="preserve"> áp d</w:t>
      </w:r>
      <w:r>
        <w:rPr>
          <w:rFonts w:eastAsia="Calibri"/>
          <w:szCs w:val="28"/>
        </w:rPr>
        <w:t>ụ</w:t>
      </w:r>
      <w:r>
        <w:rPr>
          <w:rFonts w:eastAsia="Calibri"/>
          <w:szCs w:val="28"/>
        </w:rPr>
        <w:t>ng cho các m</w:t>
      </w:r>
      <w:r>
        <w:rPr>
          <w:rFonts w:eastAsia="Calibri"/>
          <w:szCs w:val="28"/>
        </w:rPr>
        <w:t>ụ</w:t>
      </w:r>
      <w:r>
        <w:rPr>
          <w:rFonts w:eastAsia="Calibri"/>
          <w:szCs w:val="28"/>
        </w:rPr>
        <w:t>c đích qu</w:t>
      </w:r>
      <w:r>
        <w:rPr>
          <w:rFonts w:eastAsia="Calibri"/>
          <w:szCs w:val="28"/>
        </w:rPr>
        <w:t>ả</w:t>
      </w:r>
      <w:r>
        <w:rPr>
          <w:rFonts w:eastAsia="Calibri"/>
          <w:szCs w:val="28"/>
        </w:rPr>
        <w:t>n lý nhà nư</w:t>
      </w:r>
      <w:r>
        <w:rPr>
          <w:rFonts w:eastAsia="Calibri"/>
          <w:szCs w:val="28"/>
        </w:rPr>
        <w:t>ớ</w:t>
      </w:r>
      <w:r>
        <w:rPr>
          <w:rFonts w:eastAsia="Calibri"/>
          <w:szCs w:val="28"/>
        </w:rPr>
        <w:t>c v</w:t>
      </w:r>
      <w:r>
        <w:rPr>
          <w:rFonts w:eastAsia="Calibri"/>
          <w:szCs w:val="28"/>
        </w:rPr>
        <w:t>ề</w:t>
      </w:r>
      <w:r>
        <w:rPr>
          <w:rFonts w:eastAsia="Calibri"/>
          <w:szCs w:val="28"/>
        </w:rPr>
        <w:t xml:space="preserve"> giá đ</w:t>
      </w:r>
      <w:r>
        <w:rPr>
          <w:rFonts w:eastAsia="Calibri"/>
          <w:szCs w:val="28"/>
        </w:rPr>
        <w:t>ấ</w:t>
      </w:r>
      <w:r>
        <w:rPr>
          <w:rFonts w:eastAsia="Calibri"/>
          <w:szCs w:val="28"/>
        </w:rPr>
        <w:t>t trên đ</w:t>
      </w:r>
      <w:r>
        <w:rPr>
          <w:rFonts w:eastAsia="Calibri"/>
          <w:szCs w:val="28"/>
        </w:rPr>
        <w:t>ị</w:t>
      </w:r>
      <w:r>
        <w:rPr>
          <w:rFonts w:eastAsia="Calibri"/>
          <w:szCs w:val="28"/>
        </w:rPr>
        <w:t>a bàn</w:t>
      </w:r>
      <w:r>
        <w:rPr>
          <w:rFonts w:eastAsia="Calibri"/>
          <w:szCs w:val="28"/>
        </w:rPr>
        <w:t xml:space="preserve"> t</w:t>
      </w:r>
      <w:r>
        <w:rPr>
          <w:rFonts w:eastAsia="Calibri"/>
          <w:szCs w:val="28"/>
        </w:rPr>
        <w:t>ỉ</w:t>
      </w:r>
      <w:r>
        <w:rPr>
          <w:rFonts w:eastAsia="Calibri"/>
          <w:szCs w:val="28"/>
        </w:rPr>
        <w:t>nh Hà Tĩnh</w:t>
      </w:r>
      <w:r>
        <w:rPr>
          <w:spacing w:val="-2"/>
          <w:szCs w:val="28"/>
          <w:lang w:val="pt-BR"/>
        </w:rPr>
        <w:t xml:space="preserve"> là hết sức cần thiết.</w:t>
      </w:r>
    </w:p>
    <w:p w:rsidR="005D64F6" w:rsidRDefault="00F60F3F" w:rsidP="00B21280">
      <w:pPr>
        <w:pStyle w:val="NormalWeb"/>
        <w:widowControl w:val="0"/>
        <w:spacing w:before="0" w:beforeAutospacing="0" w:after="0" w:afterAutospacing="0"/>
        <w:ind w:firstLine="720"/>
        <w:jc w:val="both"/>
        <w:rPr>
          <w:b/>
          <w:bCs/>
          <w:sz w:val="28"/>
          <w:szCs w:val="28"/>
        </w:rPr>
      </w:pPr>
      <w:r>
        <w:rPr>
          <w:b/>
          <w:bCs/>
          <w:sz w:val="28"/>
          <w:szCs w:val="28"/>
          <w:lang w:val="vi-VN"/>
        </w:rPr>
        <w:t>II. MỤC ĐÍCH</w:t>
      </w:r>
      <w:r>
        <w:rPr>
          <w:b/>
          <w:bCs/>
          <w:sz w:val="28"/>
          <w:szCs w:val="28"/>
        </w:rPr>
        <w:t xml:space="preserve"> BAN HÀNH</w:t>
      </w:r>
      <w:r>
        <w:rPr>
          <w:b/>
          <w:bCs/>
          <w:sz w:val="28"/>
          <w:szCs w:val="28"/>
          <w:lang w:val="vi-VN"/>
        </w:rPr>
        <w:t xml:space="preserve">, QUAN ĐIỂM </w:t>
      </w:r>
      <w:r>
        <w:rPr>
          <w:b/>
          <w:bCs/>
          <w:sz w:val="28"/>
          <w:szCs w:val="28"/>
        </w:rPr>
        <w:t>XÂY DỰNG DỰ THẢO QUYẾT</w:t>
      </w:r>
      <w:r w:rsidR="00137274">
        <w:rPr>
          <w:b/>
          <w:bCs/>
          <w:sz w:val="28"/>
          <w:szCs w:val="28"/>
        </w:rPr>
        <w:t xml:space="preserve"> ĐỊNH</w:t>
      </w:r>
    </w:p>
    <w:p w:rsidR="005D64F6" w:rsidRDefault="00F60F3F" w:rsidP="00B21280">
      <w:pPr>
        <w:pStyle w:val="NormalWeb"/>
        <w:widowControl w:val="0"/>
        <w:spacing w:before="0" w:beforeAutospacing="0" w:after="0" w:afterAutospacing="0"/>
        <w:ind w:firstLine="720"/>
        <w:jc w:val="both"/>
        <w:rPr>
          <w:b/>
          <w:bCs/>
          <w:sz w:val="28"/>
          <w:szCs w:val="28"/>
        </w:rPr>
      </w:pPr>
      <w:r>
        <w:rPr>
          <w:b/>
          <w:bCs/>
          <w:sz w:val="28"/>
          <w:szCs w:val="28"/>
          <w:lang w:val="vi-VN"/>
        </w:rPr>
        <w:t>1. Mục đích ban hành văn bản</w:t>
      </w:r>
    </w:p>
    <w:p w:rsidR="00D21B2C" w:rsidRDefault="00D21B2C"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rFonts w:eastAsia="Calibri"/>
          <w:szCs w:val="28"/>
        </w:rPr>
      </w:pPr>
      <w:r w:rsidRPr="00D21B2C">
        <w:rPr>
          <w:rFonts w:eastAsia="Calibri"/>
          <w:szCs w:val="28"/>
        </w:rPr>
        <w:t xml:space="preserve">Cụ thể hoá </w:t>
      </w:r>
      <w:r w:rsidRPr="00D21B2C">
        <w:rPr>
          <w:bCs/>
          <w:spacing w:val="-2"/>
          <w:szCs w:val="28"/>
        </w:rPr>
        <w:t xml:space="preserve">theo quy định tại </w:t>
      </w:r>
      <w:r>
        <w:rPr>
          <w:szCs w:val="28"/>
        </w:rPr>
        <w:t xml:space="preserve">khoản 2 Điều 8 Nghị quyết số </w:t>
      </w:r>
      <w:r w:rsidRPr="00D21B2C">
        <w:rPr>
          <w:szCs w:val="28"/>
        </w:rPr>
        <w:t>254/2025/QH15 của Quốc hội quy định một số cơ chế, chính sách tháo gỡ khó khăn, vướng mắc tron</w:t>
      </w:r>
      <w:r w:rsidRPr="00D21B2C">
        <w:rPr>
          <w:szCs w:val="28"/>
        </w:rPr>
        <w:t xml:space="preserve">g tổ chức thi hành Luật Đất đai </w:t>
      </w:r>
      <w:r w:rsidR="00F60F3F" w:rsidRPr="00D21B2C">
        <w:rPr>
          <w:rFonts w:eastAsia="Calibri"/>
          <w:szCs w:val="28"/>
        </w:rPr>
        <w:t>đ</w:t>
      </w:r>
      <w:r w:rsidR="00F60F3F" w:rsidRPr="00D21B2C">
        <w:rPr>
          <w:rFonts w:eastAsia="Calibri"/>
          <w:szCs w:val="28"/>
        </w:rPr>
        <w:t>ể</w:t>
      </w:r>
      <w:r w:rsidR="00F60F3F" w:rsidRPr="00D21B2C">
        <w:rPr>
          <w:rFonts w:eastAsia="Calibri"/>
          <w:szCs w:val="28"/>
        </w:rPr>
        <w:t xml:space="preserve"> làm căn c</w:t>
      </w:r>
      <w:r w:rsidR="00F60F3F" w:rsidRPr="00D21B2C">
        <w:rPr>
          <w:rFonts w:eastAsia="Calibri"/>
          <w:szCs w:val="28"/>
        </w:rPr>
        <w:t>ứ</w:t>
      </w:r>
      <w:r w:rsidR="00F60F3F" w:rsidRPr="00D21B2C">
        <w:rPr>
          <w:rFonts w:eastAsia="Calibri"/>
          <w:szCs w:val="28"/>
        </w:rPr>
        <w:t xml:space="preserve"> áp d</w:t>
      </w:r>
      <w:r w:rsidR="00F60F3F" w:rsidRPr="00D21B2C">
        <w:rPr>
          <w:rFonts w:eastAsia="Calibri"/>
          <w:szCs w:val="28"/>
        </w:rPr>
        <w:t>ụ</w:t>
      </w:r>
      <w:r w:rsidR="00F60F3F" w:rsidRPr="00D21B2C">
        <w:rPr>
          <w:rFonts w:eastAsia="Calibri"/>
          <w:szCs w:val="28"/>
        </w:rPr>
        <w:t>ng cho các m</w:t>
      </w:r>
      <w:r w:rsidR="00F60F3F" w:rsidRPr="00D21B2C">
        <w:rPr>
          <w:rFonts w:eastAsia="Calibri"/>
          <w:szCs w:val="28"/>
        </w:rPr>
        <w:t>ụ</w:t>
      </w:r>
      <w:r w:rsidR="00F60F3F" w:rsidRPr="00D21B2C">
        <w:rPr>
          <w:rFonts w:eastAsia="Calibri"/>
          <w:szCs w:val="28"/>
        </w:rPr>
        <w:t>c đích qu</w:t>
      </w:r>
      <w:r w:rsidR="00F60F3F" w:rsidRPr="00D21B2C">
        <w:rPr>
          <w:rFonts w:eastAsia="Calibri"/>
          <w:szCs w:val="28"/>
        </w:rPr>
        <w:t>ả</w:t>
      </w:r>
      <w:r w:rsidR="00F60F3F" w:rsidRPr="00D21B2C">
        <w:rPr>
          <w:rFonts w:eastAsia="Calibri"/>
          <w:szCs w:val="28"/>
        </w:rPr>
        <w:t>n lý nhà nư</w:t>
      </w:r>
      <w:r w:rsidR="00F60F3F" w:rsidRPr="00D21B2C">
        <w:rPr>
          <w:rFonts w:eastAsia="Calibri"/>
          <w:szCs w:val="28"/>
        </w:rPr>
        <w:t>ớ</w:t>
      </w:r>
      <w:r w:rsidR="00F60F3F" w:rsidRPr="00D21B2C">
        <w:rPr>
          <w:rFonts w:eastAsia="Calibri"/>
          <w:szCs w:val="28"/>
        </w:rPr>
        <w:t>c v</w:t>
      </w:r>
      <w:r w:rsidR="00F60F3F" w:rsidRPr="00D21B2C">
        <w:rPr>
          <w:rFonts w:eastAsia="Calibri"/>
          <w:szCs w:val="28"/>
        </w:rPr>
        <w:t>ề</w:t>
      </w:r>
      <w:r w:rsidR="00F60F3F" w:rsidRPr="00D21B2C">
        <w:rPr>
          <w:rFonts w:eastAsia="Calibri"/>
          <w:szCs w:val="28"/>
        </w:rPr>
        <w:t xml:space="preserve"> giá đ</w:t>
      </w:r>
      <w:r w:rsidR="00F60F3F" w:rsidRPr="00D21B2C">
        <w:rPr>
          <w:rFonts w:eastAsia="Calibri"/>
          <w:szCs w:val="28"/>
        </w:rPr>
        <w:t>ấ</w:t>
      </w:r>
      <w:r w:rsidR="00F60F3F" w:rsidRPr="00D21B2C">
        <w:rPr>
          <w:rFonts w:eastAsia="Calibri"/>
          <w:szCs w:val="28"/>
        </w:rPr>
        <w:t>t trên đ</w:t>
      </w:r>
      <w:r w:rsidR="00F60F3F" w:rsidRPr="00D21B2C">
        <w:rPr>
          <w:rFonts w:eastAsia="Calibri"/>
          <w:szCs w:val="28"/>
        </w:rPr>
        <w:t>ị</w:t>
      </w:r>
      <w:r w:rsidR="00F60F3F" w:rsidRPr="00D21B2C">
        <w:rPr>
          <w:rFonts w:eastAsia="Calibri"/>
          <w:szCs w:val="28"/>
        </w:rPr>
        <w:t>a bàn t</w:t>
      </w:r>
      <w:r w:rsidR="00F60F3F" w:rsidRPr="00D21B2C">
        <w:rPr>
          <w:rFonts w:eastAsia="Calibri"/>
          <w:szCs w:val="28"/>
        </w:rPr>
        <w:t>ỉ</w:t>
      </w:r>
      <w:r w:rsidR="00F60F3F" w:rsidRPr="00D21B2C">
        <w:rPr>
          <w:rFonts w:eastAsia="Calibri"/>
          <w:szCs w:val="28"/>
        </w:rPr>
        <w:t>nh Hà Tĩnh.</w:t>
      </w:r>
    </w:p>
    <w:p w:rsidR="00F2098A" w:rsidRDefault="00F60F3F" w:rsidP="00F2098A">
      <w:pPr>
        <w:pBdr>
          <w:top w:val="dotted" w:sz="4" w:space="0" w:color="FFFFFF"/>
          <w:left w:val="dotted" w:sz="4" w:space="0" w:color="FFFFFF"/>
          <w:bottom w:val="dotted" w:sz="4" w:space="22" w:color="FFFFFF"/>
          <w:right w:val="dotted" w:sz="4" w:space="0" w:color="FFFFFF"/>
        </w:pBdr>
        <w:shd w:val="clear" w:color="auto" w:fill="FFFFFF"/>
        <w:ind w:firstLine="720"/>
        <w:jc w:val="both"/>
        <w:rPr>
          <w:b/>
          <w:bCs/>
          <w:iCs/>
          <w:szCs w:val="28"/>
          <w:lang w:val="fr-FR"/>
        </w:rPr>
      </w:pPr>
      <w:r>
        <w:rPr>
          <w:b/>
          <w:bCs/>
          <w:iCs/>
          <w:szCs w:val="28"/>
          <w:lang w:val="fr-FR"/>
        </w:rPr>
        <w:t xml:space="preserve">2. Quan điểm xây dựng </w:t>
      </w:r>
      <w:r>
        <w:rPr>
          <w:b/>
          <w:bCs/>
          <w:iCs/>
          <w:szCs w:val="28"/>
          <w:lang w:val="fr-FR"/>
        </w:rPr>
        <w:t>dự thảo Quyết định</w:t>
      </w:r>
    </w:p>
    <w:p w:rsidR="00F2098A" w:rsidRDefault="00F60F3F" w:rsidP="00F2098A">
      <w:pPr>
        <w:pBdr>
          <w:top w:val="dotted" w:sz="4" w:space="0" w:color="FFFFFF"/>
          <w:left w:val="dotted" w:sz="4" w:space="0" w:color="FFFFFF"/>
          <w:bottom w:val="dotted" w:sz="4" w:space="22" w:color="FFFFFF"/>
          <w:right w:val="dotted" w:sz="4" w:space="0" w:color="FFFFFF"/>
        </w:pBdr>
        <w:shd w:val="clear" w:color="auto" w:fill="FFFFFF"/>
        <w:ind w:firstLine="720"/>
        <w:jc w:val="both"/>
        <w:rPr>
          <w:szCs w:val="28"/>
          <w:shd w:val="clear" w:color="auto" w:fill="FFFFFF"/>
          <w:lang w:val="nl" w:eastAsia="zh-CN" w:bidi="ar"/>
        </w:rPr>
      </w:pPr>
      <w:r>
        <w:rPr>
          <w:szCs w:val="28"/>
          <w:shd w:val="clear" w:color="auto" w:fill="FFFFFF"/>
          <w:lang w:val="nl" w:eastAsia="zh-CN" w:bidi="ar"/>
        </w:rPr>
        <w:t>- Bám sát quy định của Nghị quyết số 254/2025/NQ-QH15 ngày 11/12/2025, Nghị định số 49/2026/NĐ-CP ngày 31/01/2026  của Chính phủ và quy định pháp luật có liên quan, phù hợp với tình hình thực tế của địa phương; đảm bảo tính hợp hiến, hợp</w:t>
      </w:r>
      <w:r>
        <w:rPr>
          <w:szCs w:val="28"/>
          <w:shd w:val="clear" w:color="auto" w:fill="FFFFFF"/>
          <w:lang w:val="nl" w:eastAsia="zh-CN" w:bidi="ar"/>
        </w:rPr>
        <w:t xml:space="preserve"> pháp, đúng thẩm quyền, hình thức, trình tự thủ tục xây dựng theo quy định của Luật Ban hành văn bản quy phạm pháp luật.</w:t>
      </w:r>
    </w:p>
    <w:p w:rsidR="00F2098A" w:rsidRDefault="00F60F3F" w:rsidP="00F2098A">
      <w:pPr>
        <w:pBdr>
          <w:top w:val="dotted" w:sz="4" w:space="0" w:color="FFFFFF"/>
          <w:left w:val="dotted" w:sz="4" w:space="0" w:color="FFFFFF"/>
          <w:bottom w:val="dotted" w:sz="4" w:space="22" w:color="FFFFFF"/>
          <w:right w:val="dotted" w:sz="4" w:space="0" w:color="FFFFFF"/>
        </w:pBdr>
        <w:shd w:val="clear" w:color="auto" w:fill="FFFFFF"/>
        <w:ind w:firstLine="720"/>
        <w:jc w:val="both"/>
        <w:rPr>
          <w:szCs w:val="28"/>
          <w:shd w:val="clear" w:color="auto" w:fill="FFFFFF"/>
          <w:lang w:val="nl"/>
        </w:rPr>
      </w:pPr>
      <w:r>
        <w:rPr>
          <w:szCs w:val="28"/>
          <w:shd w:val="clear" w:color="auto" w:fill="FFFFFF"/>
          <w:lang w:val="nl"/>
        </w:rPr>
        <w:t>- Bảo đảm chất lượng, kịp thời để phục vụ các mục đích quản lý nhà nước về giá đất trên địa bàn tỉnh; dân chủ, khách quan trong việc t</w:t>
      </w:r>
      <w:r>
        <w:rPr>
          <w:szCs w:val="28"/>
          <w:shd w:val="clear" w:color="auto" w:fill="FFFFFF"/>
          <w:lang w:val="nl"/>
        </w:rPr>
        <w:t>iếp nhận ý kiến góp ý của các sở, ngành, tổ chức, cá nhân có liên quan trong quá trình xây dựng Quyết định.</w:t>
      </w:r>
    </w:p>
    <w:p w:rsidR="00F2098A" w:rsidRDefault="00F60F3F" w:rsidP="00F2098A">
      <w:pPr>
        <w:pBdr>
          <w:top w:val="dotted" w:sz="4" w:space="0" w:color="FFFFFF"/>
          <w:left w:val="dotted" w:sz="4" w:space="0" w:color="FFFFFF"/>
          <w:bottom w:val="dotted" w:sz="4" w:space="22" w:color="FFFFFF"/>
          <w:right w:val="dotted" w:sz="4" w:space="0" w:color="FFFFFF"/>
        </w:pBdr>
        <w:shd w:val="clear" w:color="auto" w:fill="FFFFFF"/>
        <w:ind w:firstLine="720"/>
        <w:jc w:val="both"/>
        <w:rPr>
          <w:szCs w:val="28"/>
          <w:shd w:val="clear" w:color="auto" w:fill="FFFFFF"/>
          <w:lang w:val="nl"/>
        </w:rPr>
      </w:pPr>
      <w:r>
        <w:rPr>
          <w:szCs w:val="28"/>
          <w:shd w:val="clear" w:color="auto" w:fill="FFFFFF"/>
          <w:lang w:val="nl"/>
        </w:rPr>
        <w:lastRenderedPageBreak/>
        <w:t>- Đảm bảo theo nguyên tắc thị trường;</w:t>
      </w:r>
      <w:r w:rsidR="00D21B2C">
        <w:rPr>
          <w:szCs w:val="28"/>
          <w:shd w:val="clear" w:color="auto" w:fill="FFFFFF"/>
          <w:lang w:val="nl"/>
        </w:rPr>
        <w:t xml:space="preserve"> </w:t>
      </w:r>
      <w:r w:rsidR="00D21B2C">
        <w:rPr>
          <w:szCs w:val="28"/>
          <w:shd w:val="clear" w:color="auto" w:fill="FFFFFF"/>
          <w:lang w:val="nl"/>
        </w:rPr>
        <w:t>hài hoà lợi ích giữa Nhà nước, nhà đầu tư và người sử dụng đất khi thực hiện nghĩa vụ tài chính về đất đai</w:t>
      </w:r>
      <w:r>
        <w:rPr>
          <w:szCs w:val="28"/>
          <w:shd w:val="clear" w:color="auto" w:fill="FFFFFF"/>
          <w:lang w:val="nl"/>
        </w:rPr>
        <w:t xml:space="preserve">; </w:t>
      </w:r>
    </w:p>
    <w:p w:rsidR="00F2098A" w:rsidRDefault="00F60F3F" w:rsidP="00F2098A">
      <w:pPr>
        <w:pBdr>
          <w:top w:val="dotted" w:sz="4" w:space="0" w:color="FFFFFF"/>
          <w:left w:val="dotted" w:sz="4" w:space="0" w:color="FFFFFF"/>
          <w:bottom w:val="dotted" w:sz="4" w:space="22" w:color="FFFFFF"/>
          <w:right w:val="dotted" w:sz="4" w:space="0" w:color="FFFFFF"/>
        </w:pBdr>
        <w:shd w:val="clear" w:color="auto" w:fill="FFFFFF"/>
        <w:ind w:firstLine="720"/>
        <w:jc w:val="both"/>
        <w:rPr>
          <w:szCs w:val="28"/>
          <w:shd w:val="clear" w:color="auto" w:fill="FFFFFF"/>
          <w:lang w:val="nl"/>
        </w:rPr>
      </w:pPr>
      <w:r>
        <w:rPr>
          <w:szCs w:val="28"/>
          <w:shd w:val="clear" w:color="auto" w:fill="FFFFFF"/>
          <w:lang w:val="nl"/>
        </w:rPr>
        <w:t xml:space="preserve">- Đảm bảo </w:t>
      </w:r>
      <w:r>
        <w:rPr>
          <w:szCs w:val="28"/>
          <w:shd w:val="clear" w:color="auto" w:fill="FFFFFF"/>
          <w:lang w:val="nl"/>
        </w:rPr>
        <w:t>tính khách quan, công bằng, công khai, minh bạch, góp phần ổn định môi trường sản xuất, kinh doanh của người dân, doanh nghiệp; giải phóng nguồn lực đất đai, thúc đẩy phát triển kinh tế - xã hội của tỉnh.</w:t>
      </w:r>
    </w:p>
    <w:p w:rsidR="00F2098A" w:rsidRDefault="00F60F3F" w:rsidP="00F2098A">
      <w:pPr>
        <w:pBdr>
          <w:top w:val="dotted" w:sz="4" w:space="0" w:color="FFFFFF"/>
          <w:left w:val="dotted" w:sz="4" w:space="0" w:color="FFFFFF"/>
          <w:bottom w:val="dotted" w:sz="4" w:space="22" w:color="FFFFFF"/>
          <w:right w:val="dotted" w:sz="4" w:space="0" w:color="FFFFFF"/>
        </w:pBdr>
        <w:shd w:val="clear" w:color="auto" w:fill="FFFFFF"/>
        <w:ind w:firstLine="720"/>
        <w:jc w:val="both"/>
        <w:rPr>
          <w:b/>
          <w:bCs/>
          <w:lang w:val="nl"/>
        </w:rPr>
      </w:pPr>
      <w:r>
        <w:rPr>
          <w:b/>
          <w:bCs/>
          <w:lang w:val="fr-FR"/>
        </w:rPr>
        <w:t>III</w:t>
      </w:r>
      <w:r>
        <w:rPr>
          <w:b/>
          <w:bCs/>
          <w:lang w:val="nl"/>
        </w:rPr>
        <w:t>. QUÁ TRÌNH XÂY DỰNG DỰ THẢO QUYẾT ĐỊNH</w:t>
      </w:r>
    </w:p>
    <w:p w:rsidR="00F2098A" w:rsidRDefault="00F60F3F" w:rsidP="00F2098A">
      <w:pPr>
        <w:pBdr>
          <w:top w:val="dotted" w:sz="4" w:space="0" w:color="FFFFFF"/>
          <w:left w:val="dotted" w:sz="4" w:space="0" w:color="FFFFFF"/>
          <w:bottom w:val="dotted" w:sz="4" w:space="22" w:color="FFFFFF"/>
          <w:right w:val="dotted" w:sz="4" w:space="0" w:color="FFFFFF"/>
        </w:pBdr>
        <w:shd w:val="clear" w:color="auto" w:fill="FFFFFF"/>
        <w:ind w:firstLine="720"/>
        <w:jc w:val="both"/>
        <w:rPr>
          <w:szCs w:val="28"/>
        </w:rPr>
      </w:pPr>
      <w:r>
        <w:rPr>
          <w:b/>
          <w:spacing w:val="-4"/>
          <w:szCs w:val="28"/>
          <w:lang w:val="nl" w:eastAsia="zh-CN" w:bidi="ar"/>
        </w:rPr>
        <w:t>1.</w:t>
      </w:r>
      <w:r>
        <w:rPr>
          <w:spacing w:val="-4"/>
          <w:szCs w:val="28"/>
          <w:lang w:val="nl" w:eastAsia="zh-CN" w:bidi="ar"/>
        </w:rPr>
        <w:t xml:space="preserve"> Căn cứ quy định của</w:t>
      </w:r>
      <w:r w:rsidR="00137274">
        <w:rPr>
          <w:spacing w:val="-4"/>
          <w:szCs w:val="28"/>
          <w:lang w:val="nl" w:eastAsia="zh-CN" w:bidi="ar"/>
        </w:rPr>
        <w:t xml:space="preserve"> Luật Ban hành văn bản quy phạm </w:t>
      </w:r>
      <w:r>
        <w:rPr>
          <w:spacing w:val="-4"/>
          <w:szCs w:val="28"/>
          <w:lang w:val="nl" w:eastAsia="zh-CN" w:bidi="ar"/>
        </w:rPr>
        <w:t>pháp luật, Sở Nông nghiệp và Môi trường đã có văn bản đề nghị UBND tỉnh cho phép chủ trư</w:t>
      </w:r>
      <w:r>
        <w:rPr>
          <w:spacing w:val="-4"/>
          <w:szCs w:val="28"/>
          <w:lang w:val="nl" w:eastAsia="zh-CN" w:bidi="ar"/>
        </w:rPr>
        <w:t>ơng xây dựng Quyết định Hệ số điều chỉnh giá đất năm 2026 trên địa bàn tỉnh theo trình tự rút gọn và đã được UBND tỉnh đồng ý tại Văn bản số 1302/</w:t>
      </w:r>
      <w:r>
        <w:rPr>
          <w:szCs w:val="28"/>
        </w:rPr>
        <w:t>UBND-TH</w:t>
      </w:r>
      <w:r>
        <w:rPr>
          <w:szCs w:val="28"/>
          <w:vertAlign w:val="subscript"/>
        </w:rPr>
        <w:t>5</w:t>
      </w:r>
      <w:r>
        <w:rPr>
          <w:szCs w:val="28"/>
        </w:rPr>
        <w:t xml:space="preserve"> ngày 13/02/2026.</w:t>
      </w:r>
    </w:p>
    <w:p w:rsidR="00F2098A" w:rsidRDefault="00F60F3F" w:rsidP="00F2098A">
      <w:pPr>
        <w:pBdr>
          <w:top w:val="dotted" w:sz="4" w:space="0" w:color="FFFFFF"/>
          <w:left w:val="dotted" w:sz="4" w:space="0" w:color="FFFFFF"/>
          <w:bottom w:val="dotted" w:sz="4" w:space="22" w:color="FFFFFF"/>
          <w:right w:val="dotted" w:sz="4" w:space="0" w:color="FFFFFF"/>
        </w:pBdr>
        <w:shd w:val="clear" w:color="auto" w:fill="FFFFFF"/>
        <w:ind w:firstLine="720"/>
        <w:jc w:val="both"/>
        <w:rPr>
          <w:spacing w:val="-4"/>
          <w:szCs w:val="28"/>
          <w:lang w:val="nl" w:eastAsia="zh-CN" w:bidi="ar"/>
        </w:rPr>
      </w:pPr>
      <w:r>
        <w:rPr>
          <w:spacing w:val="-4"/>
          <w:szCs w:val="28"/>
          <w:lang w:val="nl" w:eastAsia="zh-CN" w:bidi="ar"/>
        </w:rPr>
        <w:t xml:space="preserve">Căn cứ Nghị quyết 254/2025/NQ-QH15, Nghị định số 49/2026/NĐ-CP ngày 31/01/2026 của Chính phủ, Sở Nông nghiệp và Môi trường đã lập </w:t>
      </w:r>
      <w:r>
        <w:rPr>
          <w:szCs w:val="28"/>
          <w:lang w:val="nl"/>
        </w:rPr>
        <w:t xml:space="preserve">Dự án xây dựng hệ số điều chỉnh giá đất năm 2026 trên địa bàn tỉnh Hà Tĩnh </w:t>
      </w:r>
      <w:r>
        <w:rPr>
          <w:spacing w:val="-4"/>
          <w:szCs w:val="28"/>
          <w:lang w:val="nl" w:eastAsia="zh-CN" w:bidi="ar"/>
        </w:rPr>
        <w:t>trình Sở Tài chính thẩm định và đã được UBND tỉnh p</w:t>
      </w:r>
      <w:r>
        <w:rPr>
          <w:spacing w:val="-4"/>
          <w:szCs w:val="28"/>
          <w:lang w:val="nl" w:eastAsia="zh-CN" w:bidi="ar"/>
        </w:rPr>
        <w:t xml:space="preserve">hê duyệt tại Quyết định số 1188/QĐ-UBND ngày 12/5/2026. </w:t>
      </w:r>
    </w:p>
    <w:p w:rsidR="00F2098A" w:rsidRDefault="00F60F3F" w:rsidP="00F2098A">
      <w:pPr>
        <w:pBdr>
          <w:top w:val="dotted" w:sz="4" w:space="0" w:color="FFFFFF"/>
          <w:left w:val="dotted" w:sz="4" w:space="0" w:color="FFFFFF"/>
          <w:bottom w:val="dotted" w:sz="4" w:space="22" w:color="FFFFFF"/>
          <w:right w:val="dotted" w:sz="4" w:space="0" w:color="FFFFFF"/>
        </w:pBdr>
        <w:shd w:val="clear" w:color="auto" w:fill="FFFFFF"/>
        <w:ind w:firstLine="720"/>
        <w:jc w:val="both"/>
        <w:rPr>
          <w:szCs w:val="28"/>
          <w:shd w:val="clear" w:color="auto" w:fill="FFFFFF"/>
          <w:lang w:val="nl"/>
        </w:rPr>
      </w:pPr>
      <w:r>
        <w:rPr>
          <w:b/>
          <w:szCs w:val="28"/>
          <w:shd w:val="clear" w:color="auto" w:fill="FFFFFF"/>
          <w:lang w:val="nl" w:eastAsia="zh-CN" w:bidi="ar"/>
        </w:rPr>
        <w:t>2.</w:t>
      </w:r>
      <w:r>
        <w:rPr>
          <w:szCs w:val="28"/>
          <w:shd w:val="clear" w:color="auto" w:fill="FFFFFF"/>
          <w:lang w:val="nl" w:eastAsia="zh-CN" w:bidi="ar"/>
        </w:rPr>
        <w:t xml:space="preserve"> </w:t>
      </w:r>
      <w:r>
        <w:rPr>
          <w:spacing w:val="-4"/>
          <w:szCs w:val="28"/>
          <w:lang w:val="nl" w:eastAsia="zh-CN" w:bidi="ar"/>
        </w:rPr>
        <w:t>Sở Nông nghiệp và Môi trường đã giao nhiệm vụ cho Trung tâm Kỹ thuật địa chính và Điều tra nông nghiệp (gọi tắt là Trung tâm) để thực hiện nhiệm vụ tư vấn xây dựng hệ số điều chỉnh giá đất năm 202</w:t>
      </w:r>
      <w:r>
        <w:rPr>
          <w:spacing w:val="-4"/>
          <w:szCs w:val="28"/>
          <w:lang w:val="nl" w:eastAsia="zh-CN" w:bidi="ar"/>
        </w:rPr>
        <w:t xml:space="preserve">6 trên địa bàn tỉnh Hà Tĩnh. </w:t>
      </w:r>
      <w:r>
        <w:rPr>
          <w:szCs w:val="28"/>
          <w:lang w:val="nl" w:eastAsia="zh-CN" w:bidi="ar"/>
        </w:rPr>
        <w:t xml:space="preserve">Chỉ đạo </w:t>
      </w:r>
      <w:r>
        <w:rPr>
          <w:spacing w:val="-4"/>
          <w:szCs w:val="28"/>
          <w:lang w:val="nl" w:eastAsia="zh-CN" w:bidi="ar"/>
        </w:rPr>
        <w:t>Trung tâm</w:t>
      </w:r>
      <w:r>
        <w:rPr>
          <w:szCs w:val="28"/>
          <w:lang w:val="nl" w:eastAsia="zh-CN" w:bidi="ar"/>
        </w:rPr>
        <w:t xml:space="preserve"> phối hợp với UBND các xã, phường, Văn phòng Đăng ký đất đai và các đơn vị, tổ chức, cá nhân liên quan để khảo sát, thu thập thông tin và thực hiện các trình tự, thủ tục xây dựng dự thảo Hệ số điều chỉnh giá đấ</w:t>
      </w:r>
      <w:r>
        <w:rPr>
          <w:szCs w:val="28"/>
          <w:lang w:val="nl" w:eastAsia="zh-CN" w:bidi="ar"/>
        </w:rPr>
        <w:t>t theo quy định.</w:t>
      </w:r>
    </w:p>
    <w:p w:rsidR="00F2098A" w:rsidRDefault="00F60F3F" w:rsidP="00F2098A">
      <w:pPr>
        <w:pBdr>
          <w:top w:val="dotted" w:sz="4" w:space="0" w:color="FFFFFF"/>
          <w:left w:val="dotted" w:sz="4" w:space="0" w:color="FFFFFF"/>
          <w:bottom w:val="dotted" w:sz="4" w:space="22" w:color="FFFFFF"/>
          <w:right w:val="dotted" w:sz="4" w:space="0" w:color="FFFFFF"/>
        </w:pBdr>
        <w:shd w:val="clear" w:color="auto" w:fill="FFFFFF"/>
        <w:ind w:firstLine="720"/>
        <w:jc w:val="both"/>
        <w:rPr>
          <w:szCs w:val="28"/>
          <w:shd w:val="clear" w:color="auto" w:fill="FFFFFF"/>
          <w:lang w:val="nl"/>
        </w:rPr>
      </w:pPr>
      <w:r>
        <w:rPr>
          <w:lang w:val="nl"/>
        </w:rPr>
        <w:t>S</w:t>
      </w:r>
      <w:r>
        <w:rPr>
          <w:lang w:val="nl"/>
        </w:rPr>
        <w:t>au khi có</w:t>
      </w:r>
      <w:r>
        <w:rPr>
          <w:lang w:val="nl-NL"/>
        </w:rPr>
        <w:t xml:space="preserve"> kết quả xây dựng phương án hệ số điều chỉnh giá đất của Trung tâm, Sở Nông nghiệp và Môi trường</w:t>
      </w:r>
      <w:r>
        <w:rPr>
          <w:lang w:val="vi-VN"/>
        </w:rPr>
        <w:t xml:space="preserve"> đã </w:t>
      </w:r>
      <w:r>
        <w:t>d</w:t>
      </w:r>
      <w:r>
        <w:rPr>
          <w:lang w:val="vi-VN"/>
        </w:rPr>
        <w:t xml:space="preserve">ự thảo </w:t>
      </w:r>
      <w:r>
        <w:rPr>
          <w:lang w:val="nl-NL"/>
        </w:rPr>
        <w:t>Tờ trình, dự thảo</w:t>
      </w:r>
      <w:r>
        <w:rPr>
          <w:lang w:val="nl"/>
        </w:rPr>
        <w:t xml:space="preserve"> Quyết định đề nghị Trung tâm Công báo - Tin học tỉnh đăng tải lên Cổng thông tin điện tử tỉnh, Trang th</w:t>
      </w:r>
      <w:r>
        <w:rPr>
          <w:lang w:val="nl"/>
        </w:rPr>
        <w:t>ông tin điện tử của Sở Nông nghiệp và Môi trường để các cơ quan, tổ chức, cá nhân có liên quan biết, tham gia đóng góp ý (thời gian đăng tải lấy ý kiến rộng rãi là 10 ngày); đã tổ chức Hội thảo lấy ý kiến góp ý trực tiếp các sở, ngành, UBND các xã, phường;</w:t>
      </w:r>
      <w:r>
        <w:rPr>
          <w:lang w:val="nl"/>
        </w:rPr>
        <w:t xml:space="preserve"> có văn bản gửi xin ý kiến góp ý của Ủy ban Mặt trận Tổ quốc Việt Nam tỉnh và các tổ chức thành viên của Mặt trận; các sở, ngành, địa phương, đơn vị liên quan</w:t>
      </w:r>
      <w:r>
        <w:rPr>
          <w:shd w:val="clear" w:color="auto" w:fill="FFFFFF"/>
          <w:lang w:val="nl" w:eastAsia="zh-CN" w:bidi="ar"/>
        </w:rPr>
        <w:t xml:space="preserve"> để nghiên cứu cho ý kiến hồ sơ dự thảo Nghị quyết.</w:t>
      </w:r>
    </w:p>
    <w:p w:rsidR="005D64F6" w:rsidRPr="00F2098A" w:rsidRDefault="00F60F3F" w:rsidP="00F2098A">
      <w:pPr>
        <w:pBdr>
          <w:top w:val="dotted" w:sz="4" w:space="0" w:color="FFFFFF"/>
          <w:left w:val="dotted" w:sz="4" w:space="0" w:color="FFFFFF"/>
          <w:bottom w:val="dotted" w:sz="4" w:space="22" w:color="FFFFFF"/>
          <w:right w:val="dotted" w:sz="4" w:space="0" w:color="FFFFFF"/>
        </w:pBdr>
        <w:shd w:val="clear" w:color="auto" w:fill="FFFFFF"/>
        <w:ind w:firstLine="720"/>
        <w:jc w:val="both"/>
        <w:rPr>
          <w:szCs w:val="28"/>
          <w:shd w:val="clear" w:color="auto" w:fill="FFFFFF"/>
          <w:lang w:val="nl"/>
        </w:rPr>
      </w:pPr>
      <w:r>
        <w:rPr>
          <w:b/>
          <w:lang w:val="nl" w:eastAsia="zh-CN" w:bidi="ar"/>
        </w:rPr>
        <w:t>3.</w:t>
      </w:r>
      <w:r>
        <w:rPr>
          <w:lang w:val="nl" w:eastAsia="zh-CN" w:bidi="ar"/>
        </w:rPr>
        <w:t xml:space="preserve"> Trên cơ sở ý kiến góp ý của các sở, ngành, </w:t>
      </w:r>
      <w:r>
        <w:rPr>
          <w:lang w:val="nl" w:eastAsia="zh-CN" w:bidi="ar"/>
        </w:rPr>
        <w:t xml:space="preserve">địa phương, đơn vị có liên quan, Sở Nông nghiệp và Môi trường chỉ đạo Trung tâm tổng hợp, tiếp thu, giải trình ý kiến góp ý, hoàn thiện các dự thảo và trình </w:t>
      </w:r>
      <w:r>
        <w:t>Hội đồng thẩm định hệ số điều chỉnh giá đất năm 2026 thẩm định hồ sơ dự thảo Quyết định quy định hệ</w:t>
      </w:r>
      <w:r>
        <w:t xml:space="preserve"> số điều chỉnh giá đất năm 2026 trên địa bàn tỉnh Hà Tĩnh.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567"/>
        <w:jc w:val="both"/>
        <w:rPr>
          <w:spacing w:val="-2"/>
        </w:rPr>
      </w:pPr>
      <w:r>
        <w:rPr>
          <w:b/>
        </w:rPr>
        <w:t>4.</w:t>
      </w:r>
      <w:r>
        <w:t xml:space="preserve"> Hội đồng thẩm định hệ số điều chỉnh giá đất năm 2026 đã tổ chức thẩm định và có thông báo kết quả thẩm định tại </w:t>
      </w:r>
      <w:r>
        <w:rPr>
          <w:spacing w:val="-2"/>
        </w:rPr>
        <w:t>Thông báo số …../TB-HĐTĐ ngày …./…./2026.</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567"/>
        <w:jc w:val="both"/>
        <w:rPr>
          <w:rFonts w:eastAsia="Calibri"/>
          <w:szCs w:val="28"/>
          <w:lang w:val="nl-NL" w:eastAsia="x-none"/>
        </w:rPr>
      </w:pPr>
      <w:r>
        <w:rPr>
          <w:rFonts w:eastAsia="Calibri"/>
          <w:szCs w:val="28"/>
          <w:lang w:val="nl-NL" w:eastAsia="x-none"/>
        </w:rPr>
        <w:t>Sau khi t</w:t>
      </w:r>
      <w:r>
        <w:rPr>
          <w:rFonts w:eastAsia="Calibri"/>
          <w:szCs w:val="28"/>
          <w:lang w:val="nl-NL" w:eastAsia="x-none"/>
        </w:rPr>
        <w:t>ổ</w:t>
      </w:r>
      <w:r>
        <w:rPr>
          <w:rFonts w:eastAsia="Calibri"/>
          <w:szCs w:val="28"/>
          <w:lang w:val="nl-NL" w:eastAsia="x-none"/>
        </w:rPr>
        <w:t>ng h</w:t>
      </w:r>
      <w:r>
        <w:rPr>
          <w:rFonts w:eastAsia="Calibri"/>
          <w:szCs w:val="28"/>
          <w:lang w:val="nl-NL" w:eastAsia="x-none"/>
        </w:rPr>
        <w:t>ợ</w:t>
      </w:r>
      <w:r>
        <w:rPr>
          <w:rFonts w:eastAsia="Calibri"/>
          <w:szCs w:val="28"/>
          <w:lang w:val="nl-NL" w:eastAsia="x-none"/>
        </w:rPr>
        <w:t>p, ti</w:t>
      </w:r>
      <w:r>
        <w:rPr>
          <w:rFonts w:eastAsia="Calibri"/>
          <w:szCs w:val="28"/>
          <w:lang w:val="nl-NL" w:eastAsia="x-none"/>
        </w:rPr>
        <w:t>ế</w:t>
      </w:r>
      <w:r>
        <w:rPr>
          <w:rFonts w:eastAsia="Calibri"/>
          <w:szCs w:val="28"/>
          <w:lang w:val="nl-NL" w:eastAsia="x-none"/>
        </w:rPr>
        <w:t>p thu ý ki</w:t>
      </w:r>
      <w:r>
        <w:rPr>
          <w:rFonts w:eastAsia="Calibri"/>
          <w:szCs w:val="28"/>
          <w:lang w:val="nl-NL" w:eastAsia="x-none"/>
        </w:rPr>
        <w:t>ế</w:t>
      </w:r>
      <w:r>
        <w:rPr>
          <w:rFonts w:eastAsia="Calibri"/>
          <w:szCs w:val="28"/>
          <w:lang w:val="nl-NL" w:eastAsia="x-none"/>
        </w:rPr>
        <w:t>n th</w:t>
      </w:r>
      <w:r>
        <w:rPr>
          <w:rFonts w:eastAsia="Calibri"/>
          <w:szCs w:val="28"/>
          <w:lang w:val="nl-NL" w:eastAsia="x-none"/>
        </w:rPr>
        <w:t>ẩ</w:t>
      </w:r>
      <w:r>
        <w:rPr>
          <w:rFonts w:eastAsia="Calibri"/>
          <w:szCs w:val="28"/>
          <w:lang w:val="nl-NL" w:eastAsia="x-none"/>
        </w:rPr>
        <w:t xml:space="preserve">m </w:t>
      </w:r>
      <w:r>
        <w:rPr>
          <w:rFonts w:eastAsia="Calibri"/>
          <w:szCs w:val="28"/>
          <w:lang w:val="nl-NL" w:eastAsia="x-none"/>
        </w:rPr>
        <w:t>đ</w:t>
      </w:r>
      <w:r>
        <w:rPr>
          <w:rFonts w:eastAsia="Calibri"/>
          <w:szCs w:val="28"/>
          <w:lang w:val="nl-NL" w:eastAsia="x-none"/>
        </w:rPr>
        <w:t>ị</w:t>
      </w:r>
      <w:r>
        <w:rPr>
          <w:rFonts w:eastAsia="Calibri"/>
          <w:szCs w:val="28"/>
          <w:lang w:val="nl-NL" w:eastAsia="x-none"/>
        </w:rPr>
        <w:t>nh c</w:t>
      </w:r>
      <w:r>
        <w:rPr>
          <w:rFonts w:eastAsia="Calibri"/>
          <w:szCs w:val="28"/>
          <w:lang w:val="nl-NL" w:eastAsia="x-none"/>
        </w:rPr>
        <w:t>ủ</w:t>
      </w:r>
      <w:r>
        <w:rPr>
          <w:rFonts w:eastAsia="Calibri"/>
          <w:szCs w:val="28"/>
          <w:lang w:val="nl-NL" w:eastAsia="x-none"/>
        </w:rPr>
        <w:t>a H</w:t>
      </w:r>
      <w:r>
        <w:rPr>
          <w:rFonts w:eastAsia="Calibri"/>
          <w:szCs w:val="28"/>
          <w:lang w:val="nl-NL" w:eastAsia="x-none"/>
        </w:rPr>
        <w:t>ộ</w:t>
      </w:r>
      <w:r>
        <w:rPr>
          <w:rFonts w:eastAsia="Calibri"/>
          <w:szCs w:val="28"/>
          <w:lang w:val="nl-NL" w:eastAsia="x-none"/>
        </w:rPr>
        <w:t>i đ</w:t>
      </w:r>
      <w:r>
        <w:rPr>
          <w:rFonts w:eastAsia="Calibri"/>
          <w:szCs w:val="28"/>
          <w:lang w:val="nl-NL" w:eastAsia="x-none"/>
        </w:rPr>
        <w:t>ồ</w:t>
      </w:r>
      <w:r>
        <w:rPr>
          <w:rFonts w:eastAsia="Calibri"/>
          <w:szCs w:val="28"/>
          <w:lang w:val="nl-NL" w:eastAsia="x-none"/>
        </w:rPr>
        <w:t>ng th</w:t>
      </w:r>
      <w:r>
        <w:rPr>
          <w:rFonts w:eastAsia="Calibri"/>
          <w:szCs w:val="28"/>
          <w:lang w:val="nl-NL" w:eastAsia="x-none"/>
        </w:rPr>
        <w:t>ẩ</w:t>
      </w:r>
      <w:r>
        <w:rPr>
          <w:rFonts w:eastAsia="Calibri"/>
          <w:szCs w:val="28"/>
          <w:lang w:val="nl-NL" w:eastAsia="x-none"/>
        </w:rPr>
        <w:t>m đ</w:t>
      </w:r>
      <w:r>
        <w:rPr>
          <w:rFonts w:eastAsia="Calibri"/>
          <w:szCs w:val="28"/>
          <w:lang w:val="nl-NL" w:eastAsia="x-none"/>
        </w:rPr>
        <w:t>ị</w:t>
      </w:r>
      <w:r>
        <w:rPr>
          <w:rFonts w:eastAsia="Calibri"/>
          <w:szCs w:val="28"/>
          <w:lang w:val="nl-NL" w:eastAsia="x-none"/>
        </w:rPr>
        <w:t>nh h</w:t>
      </w:r>
      <w:r>
        <w:rPr>
          <w:rFonts w:eastAsia="Calibri"/>
          <w:szCs w:val="28"/>
          <w:lang w:val="nl-NL" w:eastAsia="x-none"/>
        </w:rPr>
        <w:t>ệ</w:t>
      </w:r>
      <w:r>
        <w:rPr>
          <w:rFonts w:eastAsia="Calibri"/>
          <w:szCs w:val="28"/>
          <w:lang w:val="nl-NL" w:eastAsia="x-none"/>
        </w:rPr>
        <w:t xml:space="preserve"> s</w:t>
      </w:r>
      <w:r>
        <w:rPr>
          <w:rFonts w:eastAsia="Calibri"/>
          <w:szCs w:val="28"/>
          <w:lang w:val="nl-NL" w:eastAsia="x-none"/>
        </w:rPr>
        <w:t>ố</w:t>
      </w:r>
      <w:r>
        <w:rPr>
          <w:rFonts w:eastAsia="Calibri"/>
          <w:szCs w:val="28"/>
          <w:lang w:val="nl-NL" w:eastAsia="x-none"/>
        </w:rPr>
        <w:t xml:space="preserve"> đi</w:t>
      </w:r>
      <w:r>
        <w:rPr>
          <w:rFonts w:eastAsia="Calibri"/>
          <w:szCs w:val="28"/>
          <w:lang w:val="nl-NL" w:eastAsia="x-none"/>
        </w:rPr>
        <w:t>ề</w:t>
      </w:r>
      <w:r>
        <w:rPr>
          <w:rFonts w:eastAsia="Calibri"/>
          <w:szCs w:val="28"/>
          <w:lang w:val="nl-NL" w:eastAsia="x-none"/>
        </w:rPr>
        <w:t>u ch</w:t>
      </w:r>
      <w:r>
        <w:rPr>
          <w:rFonts w:eastAsia="Calibri"/>
          <w:szCs w:val="28"/>
          <w:lang w:val="nl-NL" w:eastAsia="x-none"/>
        </w:rPr>
        <w:t>ỉ</w:t>
      </w:r>
      <w:r>
        <w:rPr>
          <w:rFonts w:eastAsia="Calibri"/>
          <w:szCs w:val="28"/>
          <w:lang w:val="nl-NL" w:eastAsia="x-none"/>
        </w:rPr>
        <w:t>nh giá đ</w:t>
      </w:r>
      <w:r>
        <w:rPr>
          <w:rFonts w:eastAsia="Calibri"/>
          <w:szCs w:val="28"/>
          <w:lang w:val="nl-NL" w:eastAsia="x-none"/>
        </w:rPr>
        <w:t>ấ</w:t>
      </w:r>
      <w:r>
        <w:rPr>
          <w:rFonts w:eastAsia="Calibri"/>
          <w:szCs w:val="28"/>
          <w:lang w:val="nl-NL" w:eastAsia="x-none"/>
        </w:rPr>
        <w:t>t năm 2026, S</w:t>
      </w:r>
      <w:r>
        <w:rPr>
          <w:rFonts w:eastAsia="Calibri"/>
          <w:szCs w:val="28"/>
          <w:lang w:val="nl-NL" w:eastAsia="x-none"/>
        </w:rPr>
        <w:t>ở</w:t>
      </w:r>
      <w:r>
        <w:rPr>
          <w:rFonts w:eastAsia="Calibri"/>
          <w:szCs w:val="28"/>
          <w:lang w:val="nl-NL" w:eastAsia="x-none"/>
        </w:rPr>
        <w:t xml:space="preserve"> Nông nghi</w:t>
      </w:r>
      <w:r>
        <w:rPr>
          <w:rFonts w:eastAsia="Calibri"/>
          <w:szCs w:val="28"/>
          <w:lang w:val="nl-NL" w:eastAsia="x-none"/>
        </w:rPr>
        <w:t>ệ</w:t>
      </w:r>
      <w:r>
        <w:rPr>
          <w:rFonts w:eastAsia="Calibri"/>
          <w:szCs w:val="28"/>
          <w:lang w:val="nl-NL" w:eastAsia="x-none"/>
        </w:rPr>
        <w:t>p và Môi trư</w:t>
      </w:r>
      <w:r>
        <w:rPr>
          <w:rFonts w:eastAsia="Calibri"/>
          <w:szCs w:val="28"/>
          <w:lang w:val="nl-NL" w:eastAsia="x-none"/>
        </w:rPr>
        <w:t>ờ</w:t>
      </w:r>
      <w:r>
        <w:rPr>
          <w:rFonts w:eastAsia="Calibri"/>
          <w:szCs w:val="28"/>
          <w:lang w:val="nl-NL" w:eastAsia="x-none"/>
        </w:rPr>
        <w:t>ng hoàn thi</w:t>
      </w:r>
      <w:r>
        <w:rPr>
          <w:rFonts w:eastAsia="Calibri"/>
          <w:szCs w:val="28"/>
          <w:lang w:val="nl-NL" w:eastAsia="x-none"/>
        </w:rPr>
        <w:t>ệ</w:t>
      </w:r>
      <w:r>
        <w:rPr>
          <w:rFonts w:eastAsia="Calibri"/>
          <w:szCs w:val="28"/>
          <w:lang w:val="nl-NL" w:eastAsia="x-none"/>
        </w:rPr>
        <w:t>n các d</w:t>
      </w:r>
      <w:r>
        <w:rPr>
          <w:rFonts w:eastAsia="Calibri"/>
          <w:szCs w:val="28"/>
          <w:lang w:val="nl-NL" w:eastAsia="x-none"/>
        </w:rPr>
        <w:t>ự</w:t>
      </w:r>
      <w:r>
        <w:rPr>
          <w:rFonts w:eastAsia="Calibri"/>
          <w:szCs w:val="28"/>
          <w:lang w:val="nl-NL" w:eastAsia="x-none"/>
        </w:rPr>
        <w:t xml:space="preserve"> th</w:t>
      </w:r>
      <w:r>
        <w:rPr>
          <w:rFonts w:eastAsia="Calibri"/>
          <w:szCs w:val="28"/>
          <w:lang w:val="nl-NL" w:eastAsia="x-none"/>
        </w:rPr>
        <w:t>ả</w:t>
      </w:r>
      <w:r>
        <w:rPr>
          <w:rFonts w:eastAsia="Calibri"/>
          <w:szCs w:val="28"/>
          <w:lang w:val="nl-NL" w:eastAsia="x-none"/>
        </w:rPr>
        <w:t>o và trình S</w:t>
      </w:r>
      <w:r>
        <w:rPr>
          <w:rFonts w:eastAsia="Calibri"/>
          <w:szCs w:val="28"/>
          <w:lang w:val="nl-NL" w:eastAsia="x-none"/>
        </w:rPr>
        <w:t>ở</w:t>
      </w:r>
      <w:r>
        <w:rPr>
          <w:rFonts w:eastAsia="Calibri"/>
          <w:szCs w:val="28"/>
          <w:lang w:val="nl-NL" w:eastAsia="x-none"/>
        </w:rPr>
        <w:t xml:space="preserve"> Tư pháp th</w:t>
      </w:r>
      <w:r>
        <w:rPr>
          <w:rFonts w:eastAsia="Calibri"/>
          <w:szCs w:val="28"/>
          <w:lang w:val="nl-NL" w:eastAsia="x-none"/>
        </w:rPr>
        <w:t>ẩ</w:t>
      </w:r>
      <w:r>
        <w:rPr>
          <w:rFonts w:eastAsia="Calibri"/>
          <w:szCs w:val="28"/>
          <w:lang w:val="nl-NL" w:eastAsia="x-none"/>
        </w:rPr>
        <w:t>m đ</w:t>
      </w:r>
      <w:r>
        <w:rPr>
          <w:rFonts w:eastAsia="Calibri"/>
          <w:szCs w:val="28"/>
          <w:lang w:val="nl-NL" w:eastAsia="x-none"/>
        </w:rPr>
        <w:t>ị</w:t>
      </w:r>
      <w:r>
        <w:rPr>
          <w:rFonts w:eastAsia="Calibri"/>
          <w:szCs w:val="28"/>
          <w:lang w:val="nl-NL" w:eastAsia="x-none"/>
        </w:rPr>
        <w:t>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567"/>
        <w:jc w:val="both"/>
        <w:rPr>
          <w:b/>
        </w:rPr>
      </w:pPr>
      <w:r>
        <w:rPr>
          <w:b/>
        </w:rPr>
        <w:lastRenderedPageBreak/>
        <w:t>5.</w:t>
      </w:r>
      <w:r>
        <w:t xml:space="preserve"> </w:t>
      </w:r>
      <w:r>
        <w:rPr>
          <w:bCs/>
        </w:rPr>
        <w:t xml:space="preserve">Sở Tư pháp thẩm định tại Báo cáo số .../BC-STP ngày .../.../2026. Sở </w:t>
      </w:r>
      <w:r w:rsidR="00C7433B">
        <w:rPr>
          <w:bCs/>
        </w:rPr>
        <w:t>Nông n</w:t>
      </w:r>
      <w:r>
        <w:rPr>
          <w:bCs/>
        </w:rPr>
        <w:t>ghiệp và Môi trường tiếp thu, giải tr</w:t>
      </w:r>
      <w:r>
        <w:rPr>
          <w:bCs/>
        </w:rPr>
        <w:t>ình, chỉnh lý, hoàn thiện Dự thảo trình UBND tỉnh xem xét quyết định.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567"/>
        <w:jc w:val="both"/>
        <w:rPr>
          <w:b/>
          <w:bCs/>
          <w:lang w:val="nl"/>
        </w:rPr>
      </w:pPr>
      <w:r>
        <w:rPr>
          <w:b/>
          <w:bCs/>
          <w:lang w:val="nl"/>
        </w:rPr>
        <w:t>IV. BỐ CỤC VÀ NỘI DUNG CƠ BẢN CỦA DỰ THẢO QUYẾT ĐỊNH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
          <w:bCs/>
          <w:lang w:val="vi-VN"/>
        </w:rPr>
      </w:pPr>
      <w:r>
        <w:rPr>
          <w:b/>
          <w:bCs/>
        </w:rPr>
        <w:t xml:space="preserve">1. </w:t>
      </w:r>
      <w:r>
        <w:rPr>
          <w:b/>
          <w:bCs/>
          <w:lang w:val="vi-VN"/>
        </w:rPr>
        <w:t>Phạm vi điều chỉnh, đối tượng áp dụng</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i/>
          <w:iCs/>
          <w:lang w:val="vi-VN"/>
        </w:rPr>
      </w:pPr>
      <w:r>
        <w:rPr>
          <w:i/>
          <w:iCs/>
        </w:rPr>
        <w:t xml:space="preserve">1.1. </w:t>
      </w:r>
      <w:r>
        <w:rPr>
          <w:i/>
          <w:iCs/>
          <w:lang w:val="vi-VN"/>
        </w:rPr>
        <w:t>Phạm vi điều chỉnh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lang w:val="sv-SE"/>
        </w:rPr>
      </w:pPr>
      <w:r>
        <w:rPr>
          <w:lang w:val="sv-SE"/>
        </w:rPr>
        <w:t xml:space="preserve">Quyết định này quy định hệ số điều </w:t>
      </w:r>
      <w:r>
        <w:rPr>
          <w:lang w:val="sv-SE"/>
        </w:rPr>
        <w:t>chỉnh giá đất năm 2026 trên địa bàn tỉnh Hà Tĩnh theo quy định tại khoản 2 Điều 8 Nghị quyết số 254/2025/QH15 của Quốc hội quy định một số cơ chế, chính sách tháo gỡ khó khăn, vướng mắc trong tổ chức thi hành Luật Đất đai.</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pPr>
      <w:r>
        <w:rPr>
          <w:i/>
          <w:lang w:val="sv-SE"/>
        </w:rPr>
        <w:t>1.2. Đối tượng áp dụng</w:t>
      </w:r>
    </w:p>
    <w:p w:rsidR="00B920E3" w:rsidRDefault="00B920E3" w:rsidP="00B21280">
      <w:pPr>
        <w:pBdr>
          <w:top w:val="dotted" w:sz="4" w:space="0" w:color="FFFFFF"/>
          <w:left w:val="dotted" w:sz="4" w:space="0" w:color="FFFFFF"/>
          <w:bottom w:val="dotted" w:sz="4" w:space="22" w:color="FFFFFF"/>
          <w:right w:val="dotted" w:sz="4" w:space="0" w:color="FFFFFF"/>
        </w:pBdr>
        <w:shd w:val="clear" w:color="auto" w:fill="FFFFFF"/>
        <w:ind w:firstLine="720"/>
      </w:pPr>
      <w:r>
        <w:t>a)</w:t>
      </w:r>
      <w:r>
        <w:t xml:space="preserve"> Ủy ban nhân dân các cấp;</w:t>
      </w:r>
    </w:p>
    <w:p w:rsidR="00B920E3" w:rsidRDefault="00B920E3" w:rsidP="00B21280">
      <w:pPr>
        <w:pBdr>
          <w:top w:val="dotted" w:sz="4" w:space="0" w:color="FFFFFF"/>
          <w:left w:val="dotted" w:sz="4" w:space="0" w:color="FFFFFF"/>
          <w:bottom w:val="dotted" w:sz="4" w:space="22" w:color="FFFFFF"/>
          <w:right w:val="dotted" w:sz="4" w:space="0" w:color="FFFFFF"/>
        </w:pBdr>
        <w:shd w:val="clear" w:color="auto" w:fill="FFFFFF"/>
        <w:ind w:firstLine="720"/>
      </w:pPr>
      <w:r>
        <w:t>b)</w:t>
      </w:r>
      <w:r>
        <w:t xml:space="preserve"> Cơ quan thực hiện chức năng quản lý nhà nước về đất đai; cơ quan có chức năng xây dựng, sửa đổi, bổ sung, thẩm định, quyết định bảng giá đất, hệ số điều chỉnh giá đất. </w:t>
      </w:r>
    </w:p>
    <w:p w:rsidR="00B920E3" w:rsidRDefault="00B920E3" w:rsidP="00B21280">
      <w:pPr>
        <w:pBdr>
          <w:top w:val="dotted" w:sz="4" w:space="0" w:color="FFFFFF"/>
          <w:left w:val="dotted" w:sz="4" w:space="0" w:color="FFFFFF"/>
          <w:bottom w:val="dotted" w:sz="4" w:space="22" w:color="FFFFFF"/>
          <w:right w:val="dotted" w:sz="4" w:space="0" w:color="FFFFFF"/>
        </w:pBdr>
        <w:shd w:val="clear" w:color="auto" w:fill="FFFFFF"/>
        <w:ind w:firstLine="720"/>
        <w:rPr>
          <w:lang w:val="sv-SE"/>
        </w:rPr>
      </w:pPr>
      <w:r>
        <w:t>c)</w:t>
      </w:r>
      <w:r>
        <w:t xml:space="preserve"> Người sử dụng đất, tổ </w:t>
      </w:r>
      <w:r>
        <w:t>chức, cá nhân khác có liên quan</w:t>
      </w:r>
      <w:r>
        <w:t>.</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
          <w:bCs/>
          <w:lang w:val="vi-VN"/>
        </w:rPr>
      </w:pPr>
      <w:r>
        <w:rPr>
          <w:b/>
          <w:bCs/>
          <w:lang w:val="vi-VN"/>
        </w:rPr>
        <w:t>2. Bố cục c</w:t>
      </w:r>
      <w:r>
        <w:rPr>
          <w:b/>
          <w:bCs/>
          <w:lang w:val="vi-VN"/>
        </w:rPr>
        <w:t xml:space="preserve">ủa dự thảo </w:t>
      </w:r>
      <w:r>
        <w:rPr>
          <w:b/>
          <w:bCs/>
        </w:rPr>
        <w:t>Quyết định</w:t>
      </w:r>
      <w:r>
        <w:rPr>
          <w:b/>
          <w:bCs/>
          <w:lang w:val="vi-VN"/>
        </w:rPr>
        <w:t xml:space="preserve"> </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pPr>
      <w:r>
        <w:rPr>
          <w:bCs/>
          <w:iCs/>
          <w:lang w:val="vi-VN"/>
        </w:rPr>
        <w:t xml:space="preserve">Dự thảo </w:t>
      </w:r>
      <w:r>
        <w:t>Quyết định quy định hệ số điều chỉnh giá đất năm 2026</w:t>
      </w:r>
      <w:r>
        <w:rPr>
          <w:lang w:val="vi-VN"/>
        </w:rPr>
        <w:t xml:space="preserve"> trên địa bàn tỉnh Hà Tĩnh, </w:t>
      </w:r>
      <w:r>
        <w:rPr>
          <w:bCs/>
          <w:iCs/>
          <w:lang w:val="vi-VN"/>
        </w:rPr>
        <w:t>gồm 0</w:t>
      </w:r>
      <w:r>
        <w:rPr>
          <w:bCs/>
          <w:iCs/>
        </w:rPr>
        <w:t xml:space="preserve">6 </w:t>
      </w:r>
      <w:r>
        <w:rPr>
          <w:bCs/>
          <w:iCs/>
          <w:lang w:val="vi-VN"/>
        </w:rPr>
        <w:t>Điều, được</w:t>
      </w:r>
      <w:r>
        <w:rPr>
          <w:bCs/>
          <w:iCs/>
        </w:rPr>
        <w:t xml:space="preserve"> xây dựng theo Mẫu số 19 phụ lục III ban hành kèm theo </w:t>
      </w:r>
      <w:r>
        <w:t>Nghị định số 187/2025/NĐ-CP ngày 01/7/2025 của Chính phủ sửa đổi, bổ sun</w:t>
      </w:r>
      <w:r>
        <w:t>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w:t>
      </w:r>
      <w:r>
        <w:t xml:space="preserve">a Chính phủ về kiểm tra, rà soát, hệ thống hóa và xử lý văn bản quy phạm pháp luật, </w:t>
      </w:r>
      <w:r>
        <w:rPr>
          <w:bCs/>
        </w:rPr>
        <w:t>gồm:</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Cs/>
          <w:iCs/>
        </w:rPr>
      </w:pPr>
      <w:r>
        <w:rPr>
          <w:bCs/>
          <w:iCs/>
          <w:lang w:val="vi-VN"/>
        </w:rPr>
        <w:t xml:space="preserve">Điều 1. </w:t>
      </w:r>
      <w:r>
        <w:rPr>
          <w:bCs/>
          <w:iCs/>
        </w:rPr>
        <w:t>Phạm vi điều chỉnh;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Cs/>
          <w:iCs/>
        </w:rPr>
      </w:pPr>
      <w:r>
        <w:rPr>
          <w:bCs/>
          <w:iCs/>
          <w:lang w:val="vi-VN"/>
        </w:rPr>
        <w:t xml:space="preserve">Điều 2. </w:t>
      </w:r>
      <w:r>
        <w:rPr>
          <w:bCs/>
          <w:iCs/>
        </w:rPr>
        <w:t>Đối tượng áp dụng;</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Cs/>
          <w:lang w:val="sv-SE"/>
        </w:rPr>
      </w:pPr>
      <w:r>
        <w:rPr>
          <w:bCs/>
          <w:iCs/>
          <w:lang w:val="vi-VN"/>
        </w:rPr>
        <w:t xml:space="preserve">Điều 3. </w:t>
      </w:r>
      <w:r>
        <w:rPr>
          <w:bCs/>
          <w:lang w:val="pt-BR"/>
        </w:rPr>
        <w:t>Hệ số điều chỉnh giá đất (Hệ số K) đối với các loại đất ban hành kèm theo Nghị quyết số 176/2025/NQ-HĐ</w:t>
      </w:r>
      <w:r w:rsidR="00B21280">
        <w:rPr>
          <w:bCs/>
          <w:lang w:val="pt-BR"/>
        </w:rPr>
        <w:t xml:space="preserve">ND ngày 10/12/2025 của Hội đồng </w:t>
      </w:r>
      <w:r>
        <w:rPr>
          <w:bCs/>
          <w:lang w:val="sv-SE"/>
        </w:rPr>
        <w:t>nhân dân tỉnh Hà Tĩnh;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Cs/>
          <w:lang w:val="sv-SE"/>
        </w:rPr>
      </w:pPr>
      <w:r>
        <w:rPr>
          <w:bCs/>
          <w:lang w:val="sv-SE"/>
        </w:rPr>
        <w:t>Điều 4. Điều khoản chuyển tiếp;</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Cs/>
          <w:iCs/>
        </w:rPr>
      </w:pPr>
      <w:r>
        <w:rPr>
          <w:bCs/>
          <w:iCs/>
        </w:rPr>
        <w:t>Điều 5. Tổ chức thực hiện;</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Cs/>
          <w:iCs/>
        </w:rPr>
      </w:pPr>
      <w:r>
        <w:rPr>
          <w:bCs/>
          <w:iCs/>
        </w:rPr>
        <w:t>Điều 6. Hiệu lực thi hành.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
          <w:iCs/>
        </w:rPr>
      </w:pPr>
      <w:r>
        <w:rPr>
          <w:b/>
          <w:iCs/>
          <w:lang w:val="vi-VN"/>
        </w:rPr>
        <w:t>3. Nội dung c</w:t>
      </w:r>
      <w:r>
        <w:rPr>
          <w:b/>
          <w:iCs/>
          <w:lang w:val="vi-VN"/>
        </w:rPr>
        <w:t>ơ bản của dự thảo Quyết định</w:t>
      </w:r>
    </w:p>
    <w:p w:rsidR="00C7433B" w:rsidRDefault="00F60F3F" w:rsidP="00C7433B">
      <w:pPr>
        <w:pBdr>
          <w:top w:val="dotted" w:sz="4" w:space="0" w:color="FFFFFF"/>
          <w:left w:val="dotted" w:sz="4" w:space="0" w:color="FFFFFF"/>
          <w:bottom w:val="dotted" w:sz="4" w:space="22" w:color="FFFFFF"/>
          <w:right w:val="dotted" w:sz="4" w:space="0" w:color="FFFFFF"/>
        </w:pBdr>
        <w:shd w:val="clear" w:color="auto" w:fill="FFFFFF"/>
        <w:ind w:firstLine="720"/>
        <w:jc w:val="both"/>
        <w:rPr>
          <w:lang w:val="sv-SE"/>
        </w:rPr>
      </w:pPr>
      <w:r>
        <w:rPr>
          <w:lang w:val="pt-BR"/>
        </w:rPr>
        <w:t xml:space="preserve">Quy định hệ số điều chỉnh giá đất (hệ số K) đối với các loại đất ban hành kèm theo Nghị quyết số 176/2025/NQ-HĐND ngày 10/12/2025 của Hội đồng </w:t>
      </w:r>
      <w:r w:rsidR="00C7433B">
        <w:rPr>
          <w:lang w:val="sv-SE"/>
        </w:rPr>
        <w:t xml:space="preserve">nhân dân tỉnh Hà Tĩnh. </w:t>
      </w:r>
    </w:p>
    <w:p w:rsidR="005D64F6" w:rsidRDefault="00F60F3F" w:rsidP="00C7433B">
      <w:pPr>
        <w:pBdr>
          <w:top w:val="dotted" w:sz="4" w:space="0" w:color="FFFFFF"/>
          <w:left w:val="dotted" w:sz="4" w:space="0" w:color="FFFFFF"/>
          <w:bottom w:val="dotted" w:sz="4" w:space="22" w:color="FFFFFF"/>
          <w:right w:val="dotted" w:sz="4" w:space="0" w:color="FFFFFF"/>
        </w:pBdr>
        <w:shd w:val="clear" w:color="auto" w:fill="FFFFFF"/>
        <w:ind w:firstLine="720"/>
        <w:jc w:val="both"/>
        <w:rPr>
          <w:b/>
          <w:bCs/>
          <w:lang w:val="nl-NL"/>
        </w:rPr>
      </w:pPr>
      <w:bookmarkStart w:id="1" w:name="_GoBack"/>
      <w:bookmarkEnd w:id="1"/>
      <w:r>
        <w:rPr>
          <w:b/>
          <w:bCs/>
          <w:lang w:val="nl-NL"/>
        </w:rPr>
        <w:t>V. NHỮNG NỘI DUNG BỔ SUNG MỚI SO VỚI DỰ THẢO VĂN BẢN GỬI THẨM</w:t>
      </w:r>
      <w:r>
        <w:rPr>
          <w:b/>
          <w:bCs/>
          <w:lang w:val="nl-NL"/>
        </w:rPr>
        <w:t xml:space="preserve"> ĐỊNH (NẾU CÓ)</w:t>
      </w:r>
      <w:r w:rsidR="00B920E3">
        <w:rPr>
          <w:b/>
          <w:bCs/>
          <w:lang w:val="nl-NL"/>
        </w:rPr>
        <w:t xml:space="preserve">: </w:t>
      </w:r>
      <w:r w:rsidR="00B920E3">
        <w:rPr>
          <w:bCs/>
          <w:lang w:val="nl-NL"/>
        </w:rPr>
        <w:t>Không có nội dung bổ sung mới</w:t>
      </w:r>
      <w:r w:rsidR="00B920E3">
        <w:rPr>
          <w:bCs/>
          <w:lang w:val="nl-NL"/>
        </w:rPr>
        <w:t>.</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
          <w:spacing w:val="-2"/>
          <w:position w:val="-6"/>
        </w:rPr>
      </w:pPr>
      <w:r>
        <w:rPr>
          <w:b/>
          <w:spacing w:val="-2"/>
          <w:position w:val="-6"/>
          <w:lang w:val="vi-VN"/>
        </w:rPr>
        <w:t>V</w:t>
      </w:r>
      <w:r>
        <w:rPr>
          <w:b/>
          <w:spacing w:val="-2"/>
          <w:position w:val="-6"/>
        </w:rPr>
        <w:t>I</w:t>
      </w:r>
      <w:r>
        <w:rPr>
          <w:b/>
          <w:spacing w:val="-2"/>
          <w:position w:val="-6"/>
          <w:lang w:val="vi-VN"/>
        </w:rPr>
        <w:t xml:space="preserve">. DỰ KIẾN NGUỒN LỰC, ĐIỀU KIỆN ĐẢM BẢO CHO VIỆC THI HÀNH </w:t>
      </w:r>
      <w:r>
        <w:rPr>
          <w:b/>
          <w:spacing w:val="-2"/>
          <w:position w:val="-6"/>
        </w:rPr>
        <w:t>QUYẾT ĐỊNH</w:t>
      </w:r>
      <w:r>
        <w:rPr>
          <w:b/>
          <w:spacing w:val="-2"/>
          <w:position w:val="-6"/>
          <w:lang w:val="vi-VN"/>
        </w:rPr>
        <w:t xml:space="preserve"> VÀ THỜI GIAN TRÌNH THÔNG QUA</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
          <w:spacing w:val="-2"/>
          <w:position w:val="-6"/>
        </w:rPr>
      </w:pPr>
      <w:r>
        <w:rPr>
          <w:b/>
          <w:spacing w:val="-2"/>
          <w:position w:val="-6"/>
          <w:lang w:val="vi-VN"/>
        </w:rPr>
        <w:t xml:space="preserve">1. </w:t>
      </w:r>
      <w:r>
        <w:rPr>
          <w:b/>
          <w:spacing w:val="-2"/>
          <w:position w:val="-6"/>
        </w:rPr>
        <w:t>Dự kiến nguồn lực, điều kiện đảm bảo cho việc thi hành Quyết định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lang w:val="pt-BR"/>
        </w:rPr>
      </w:pPr>
      <w:r>
        <w:rPr>
          <w:lang w:val="pt-BR"/>
        </w:rPr>
        <w:t xml:space="preserve">Quyết định ban hành không phát sinh kinh phí, nguồn lực và điều kiện đảm </w:t>
      </w:r>
      <w:r>
        <w:rPr>
          <w:lang w:val="pt-BR"/>
        </w:rPr>
        <w:t xml:space="preserve">bảo cho việc tổ chức thực hiện. </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lang w:val="pt-BR"/>
        </w:rPr>
      </w:pPr>
      <w:r>
        <w:rPr>
          <w:lang w:val="pt-BR"/>
        </w:rPr>
        <w:lastRenderedPageBreak/>
        <w:t>Sở Nông nghiệp và Môi trường chủ trì, phối hợp với các sở, ngành liên quan tổ chức triển khai thực hiện Quyết định trên toàn tỉnh; theo dõi, đánh giá tình hình áp dụng của Quyết định để có cơ sở điều chỉnh, bổ sung quy định</w:t>
      </w:r>
      <w:r>
        <w:rPr>
          <w:lang w:val="pt-BR"/>
        </w:rPr>
        <w:t xml:space="preserve"> phù hợp với tình hình thực tế và các quy định pháp luật hiện hành.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b/>
          <w:spacing w:val="-2"/>
          <w:position w:val="-6"/>
        </w:rPr>
      </w:pPr>
      <w:r>
        <w:rPr>
          <w:b/>
          <w:spacing w:val="-2"/>
          <w:position w:val="-6"/>
        </w:rPr>
        <w:t>2</w:t>
      </w:r>
      <w:r>
        <w:rPr>
          <w:b/>
          <w:spacing w:val="-2"/>
          <w:position w:val="-6"/>
          <w:lang w:val="vi-VN"/>
        </w:rPr>
        <w:t>. Thời gian trình thông qua</w:t>
      </w:r>
      <w:r>
        <w:rPr>
          <w:b/>
          <w:spacing w:val="-2"/>
          <w:position w:val="-6"/>
        </w:rPr>
        <w:t xml:space="preserve"> Quyết định </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spacing w:val="-2"/>
          <w:position w:val="-6"/>
        </w:rPr>
      </w:pPr>
      <w:r>
        <w:rPr>
          <w:spacing w:val="-2"/>
          <w:position w:val="-6"/>
        </w:rPr>
        <w:t>Dự kiến thời gian trình ban</w:t>
      </w:r>
      <w:r w:rsidR="00B920E3">
        <w:rPr>
          <w:spacing w:val="-2"/>
          <w:position w:val="-6"/>
        </w:rPr>
        <w:t xml:space="preserve"> hành Quyết định trước ngày 01/7</w:t>
      </w:r>
      <w:r>
        <w:rPr>
          <w:spacing w:val="-2"/>
          <w:position w:val="-6"/>
        </w:rPr>
        <w:t>/2026.</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pPr>
      <w:r>
        <w:t xml:space="preserve">Trên đây là Tờ trình về dự thảo Quyết định quy định hệ số điều chỉnh giá đất năm </w:t>
      </w:r>
      <w:r>
        <w:t>2026 trên địa bàn tỉnh Hà Tĩnh, Sở Nông nghiệp và Môi trường kính trình Ủy ban nhân dân tỉnh xem xét, quyết định./.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i/>
          <w:iCs/>
          <w:lang w:val="vi-VN"/>
        </w:rPr>
      </w:pPr>
      <w:r>
        <w:rPr>
          <w:i/>
          <w:iCs/>
          <w:lang w:val="vi-VN"/>
        </w:rPr>
        <w:t xml:space="preserve">(Hồ sơ xin gửi kèm: </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i/>
        </w:rPr>
      </w:pPr>
      <w:r>
        <w:rPr>
          <w:i/>
          <w:iCs/>
          <w:spacing w:val="-4"/>
          <w:lang w:val="nl-NL"/>
        </w:rPr>
        <w:t xml:space="preserve"> 1. </w:t>
      </w:r>
      <w:r>
        <w:rPr>
          <w:i/>
          <w:iCs/>
          <w:spacing w:val="-4"/>
          <w:lang w:val="sv-SE"/>
        </w:rPr>
        <w:t xml:space="preserve">Dự thảo </w:t>
      </w:r>
      <w:r>
        <w:rPr>
          <w:i/>
        </w:rPr>
        <w:t>Quyết định quy định hệ số điều chỉnh giá đất năm 2026 trên địa bàn tỉnh Hà Tĩnh</w:t>
      </w:r>
      <w:r>
        <w:rPr>
          <w:i/>
          <w:iCs/>
          <w:lang w:val="vi-VN"/>
        </w:rPr>
        <w:t>;</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i/>
        </w:rPr>
      </w:pPr>
      <w:r>
        <w:rPr>
          <w:i/>
          <w:iCs/>
          <w:spacing w:val="-8"/>
        </w:rPr>
        <w:t xml:space="preserve">2. </w:t>
      </w:r>
      <w:r>
        <w:rPr>
          <w:i/>
        </w:rPr>
        <w:t xml:space="preserve">Bản so sánh, thuyết minh dự thảo Quyết định quy định hệ số điều chỉnh giá đất năm 2026 trên địa bàn tỉnh Hà Tĩnh; </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i/>
        </w:rPr>
      </w:pPr>
      <w:r>
        <w:rPr>
          <w:i/>
        </w:rPr>
        <w:t xml:space="preserve">3. Bản </w:t>
      </w:r>
      <w:r>
        <w:rPr>
          <w:i/>
          <w:iCs/>
          <w:spacing w:val="-8"/>
        </w:rPr>
        <w:t>tổng hợp việc tiếp thu, giải trình ý kiến góp ý, ý kiến thẩm định;</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i/>
        </w:rPr>
      </w:pPr>
      <w:r>
        <w:rPr>
          <w:i/>
          <w:iCs/>
          <w:spacing w:val="-4"/>
          <w:lang w:val="sv-SE"/>
        </w:rPr>
        <w:t xml:space="preserve">4. </w:t>
      </w:r>
      <w:r>
        <w:rPr>
          <w:i/>
          <w:iCs/>
        </w:rPr>
        <w:t>Văn bản thẩm định của Hội đồng thẩm định hệ số điều chỉnh</w:t>
      </w:r>
      <w:r w:rsidR="00B920E3">
        <w:rPr>
          <w:i/>
          <w:iCs/>
        </w:rPr>
        <w:t xml:space="preserve"> tại Văn bản số </w:t>
      </w:r>
      <w:r>
        <w:rPr>
          <w:i/>
          <w:iCs/>
        </w:rPr>
        <w:t>……</w:t>
      </w:r>
      <w:r>
        <w:rPr>
          <w:i/>
        </w:rPr>
        <w:t xml:space="preserve">, </w:t>
      </w:r>
      <w:r w:rsidR="00B920E3">
        <w:rPr>
          <w:i/>
        </w:rPr>
        <w:t xml:space="preserve">của </w:t>
      </w:r>
      <w:r>
        <w:rPr>
          <w:i/>
          <w:iCs/>
        </w:rPr>
        <w:t xml:space="preserve">Sở </w:t>
      </w:r>
      <w:r>
        <w:rPr>
          <w:i/>
          <w:iCs/>
        </w:rPr>
        <w:t>Tư pháp</w:t>
      </w:r>
      <w:r w:rsidR="00B920E3">
        <w:rPr>
          <w:i/>
          <w:iCs/>
        </w:rPr>
        <w:t xml:space="preserve"> tại Văn bản số </w:t>
      </w:r>
      <w:r>
        <w:rPr>
          <w:i/>
          <w:iCs/>
          <w:spacing w:val="-4"/>
          <w:lang w:val="sv-SE"/>
        </w:rPr>
        <w:t>;</w:t>
      </w:r>
    </w:p>
    <w:p w:rsidR="005D64F6" w:rsidRDefault="00F60F3F" w:rsidP="00B21280">
      <w:pPr>
        <w:pBdr>
          <w:top w:val="dotted" w:sz="4" w:space="0" w:color="FFFFFF"/>
          <w:left w:val="dotted" w:sz="4" w:space="0" w:color="FFFFFF"/>
          <w:bottom w:val="dotted" w:sz="4" w:space="22" w:color="FFFFFF"/>
          <w:right w:val="dotted" w:sz="4" w:space="0" w:color="FFFFFF"/>
        </w:pBdr>
        <w:shd w:val="clear" w:color="auto" w:fill="FFFFFF"/>
        <w:ind w:firstLine="720"/>
        <w:jc w:val="both"/>
        <w:rPr>
          <w:i/>
          <w:spacing w:val="-8"/>
        </w:rPr>
      </w:pPr>
      <w:r>
        <w:rPr>
          <w:i/>
        </w:rPr>
        <w:t>5. Các hồ sơ, tài liệu khác có liên quan</w:t>
      </w:r>
      <w:r>
        <w:rPr>
          <w:bCs/>
          <w:i/>
          <w:spacing w:val="-8"/>
        </w:rPr>
        <w:t>).</w:t>
      </w:r>
    </w:p>
    <w:tbl>
      <w:tblPr>
        <w:tblpPr w:leftFromText="180" w:rightFromText="180" w:vertAnchor="text" w:horzAnchor="margin" w:tblpX="-142" w:tblpY="42"/>
        <w:tblW w:w="8789" w:type="dxa"/>
        <w:tblLook w:val="04A0" w:firstRow="1" w:lastRow="0" w:firstColumn="1" w:lastColumn="0" w:noHBand="0" w:noVBand="1"/>
      </w:tblPr>
      <w:tblGrid>
        <w:gridCol w:w="5387"/>
        <w:gridCol w:w="3402"/>
      </w:tblGrid>
      <w:tr w:rsidR="005D64F6">
        <w:trPr>
          <w:trHeight w:val="1730"/>
        </w:trPr>
        <w:tc>
          <w:tcPr>
            <w:tcW w:w="5387" w:type="dxa"/>
          </w:tcPr>
          <w:p w:rsidR="005D64F6" w:rsidRDefault="00F60F3F">
            <w:pPr>
              <w:pStyle w:val="BodyTextIndent2"/>
              <w:spacing w:after="0" w:line="240" w:lineRule="auto"/>
              <w:ind w:left="0" w:right="-108"/>
              <w:rPr>
                <w:b/>
                <w:i/>
                <w:sz w:val="24"/>
                <w:szCs w:val="24"/>
                <w:lang w:val="nl-NL"/>
              </w:rPr>
            </w:pPr>
            <w:r>
              <w:rPr>
                <w:b/>
                <w:i/>
                <w:sz w:val="24"/>
                <w:szCs w:val="24"/>
                <w:lang w:val="nl-NL"/>
              </w:rPr>
              <w:t>Nơi nh</w:t>
            </w:r>
            <w:r>
              <w:rPr>
                <w:b/>
                <w:i/>
                <w:sz w:val="24"/>
                <w:szCs w:val="24"/>
                <w:lang w:val="nl-NL"/>
              </w:rPr>
              <w:t>ậ</w:t>
            </w:r>
            <w:r>
              <w:rPr>
                <w:b/>
                <w:i/>
                <w:sz w:val="24"/>
                <w:szCs w:val="24"/>
                <w:lang w:val="nl-NL"/>
              </w:rPr>
              <w:t>n:</w:t>
            </w:r>
          </w:p>
          <w:p w:rsidR="005D64F6" w:rsidRDefault="00F60F3F">
            <w:pPr>
              <w:pStyle w:val="BodyTextIndent2"/>
              <w:spacing w:after="0" w:line="240" w:lineRule="auto"/>
              <w:ind w:left="0" w:right="-108"/>
              <w:rPr>
                <w:sz w:val="22"/>
                <w:lang w:val="nl-NL"/>
              </w:rPr>
            </w:pPr>
            <w:r>
              <w:rPr>
                <w:sz w:val="22"/>
                <w:lang w:val="nl-NL"/>
              </w:rPr>
              <w:t>- Như trên;</w:t>
            </w:r>
          </w:p>
          <w:p w:rsidR="005D64F6" w:rsidRDefault="00F60F3F">
            <w:pPr>
              <w:pStyle w:val="BodyTextIndent2"/>
              <w:spacing w:after="0" w:line="240" w:lineRule="auto"/>
              <w:ind w:left="0" w:right="-108"/>
              <w:rPr>
                <w:sz w:val="22"/>
                <w:lang w:val="nl-NL"/>
              </w:rPr>
            </w:pPr>
            <w:r>
              <w:rPr>
                <w:sz w:val="22"/>
                <w:lang w:val="nl-NL"/>
              </w:rPr>
              <w:t>- H</w:t>
            </w:r>
            <w:r>
              <w:rPr>
                <w:sz w:val="22"/>
                <w:lang w:val="nl-NL"/>
              </w:rPr>
              <w:t>ộ</w:t>
            </w:r>
            <w:r>
              <w:rPr>
                <w:sz w:val="22"/>
                <w:lang w:val="nl-NL"/>
              </w:rPr>
              <w:t>i đ</w:t>
            </w:r>
            <w:r>
              <w:rPr>
                <w:sz w:val="22"/>
                <w:lang w:val="nl-NL"/>
              </w:rPr>
              <w:t>ồ</w:t>
            </w:r>
            <w:r>
              <w:rPr>
                <w:sz w:val="22"/>
                <w:lang w:val="nl-NL"/>
              </w:rPr>
              <w:t>ng th</w:t>
            </w:r>
            <w:r>
              <w:rPr>
                <w:sz w:val="22"/>
                <w:lang w:val="nl-NL"/>
              </w:rPr>
              <w:t>ẩ</w:t>
            </w:r>
            <w:r>
              <w:rPr>
                <w:sz w:val="22"/>
                <w:lang w:val="nl-NL"/>
              </w:rPr>
              <w:t>m đ</w:t>
            </w:r>
            <w:r>
              <w:rPr>
                <w:sz w:val="22"/>
                <w:lang w:val="nl-NL"/>
              </w:rPr>
              <w:t>ị</w:t>
            </w:r>
            <w:r>
              <w:rPr>
                <w:sz w:val="22"/>
                <w:lang w:val="nl-NL"/>
              </w:rPr>
              <w:t>nh b</w:t>
            </w:r>
            <w:r>
              <w:rPr>
                <w:sz w:val="22"/>
                <w:lang w:val="nl-NL"/>
              </w:rPr>
              <w:t>ả</w:t>
            </w:r>
            <w:r>
              <w:rPr>
                <w:sz w:val="22"/>
                <w:lang w:val="nl-NL"/>
              </w:rPr>
              <w:t>ng giá đ</w:t>
            </w:r>
            <w:r>
              <w:rPr>
                <w:sz w:val="22"/>
                <w:lang w:val="nl-NL"/>
              </w:rPr>
              <w:t>ấ</w:t>
            </w:r>
            <w:r>
              <w:rPr>
                <w:sz w:val="22"/>
                <w:lang w:val="nl-NL"/>
              </w:rPr>
              <w:t xml:space="preserve">t, </w:t>
            </w:r>
          </w:p>
          <w:p w:rsidR="005D64F6" w:rsidRDefault="00F60F3F">
            <w:pPr>
              <w:pStyle w:val="BodyTextIndent2"/>
              <w:spacing w:after="0" w:line="240" w:lineRule="auto"/>
              <w:ind w:left="0" w:right="-108"/>
              <w:rPr>
                <w:sz w:val="22"/>
                <w:lang w:val="nl-NL"/>
              </w:rPr>
            </w:pPr>
            <w:r>
              <w:rPr>
                <w:sz w:val="22"/>
                <w:lang w:val="nl-NL"/>
              </w:rPr>
              <w:t>h</w:t>
            </w:r>
            <w:r>
              <w:rPr>
                <w:sz w:val="22"/>
                <w:lang w:val="nl-NL"/>
              </w:rPr>
              <w:t>ệ</w:t>
            </w:r>
            <w:r>
              <w:rPr>
                <w:sz w:val="22"/>
                <w:lang w:val="nl-NL"/>
              </w:rPr>
              <w:t xml:space="preserve"> s</w:t>
            </w:r>
            <w:r>
              <w:rPr>
                <w:sz w:val="22"/>
                <w:lang w:val="nl-NL"/>
              </w:rPr>
              <w:t>ố</w:t>
            </w:r>
            <w:r>
              <w:rPr>
                <w:sz w:val="22"/>
                <w:lang w:val="nl-NL"/>
              </w:rPr>
              <w:t xml:space="preserve"> đi</w:t>
            </w:r>
            <w:r>
              <w:rPr>
                <w:sz w:val="22"/>
                <w:lang w:val="nl-NL"/>
              </w:rPr>
              <w:t>ề</w:t>
            </w:r>
            <w:r>
              <w:rPr>
                <w:sz w:val="22"/>
                <w:lang w:val="nl-NL"/>
              </w:rPr>
              <w:t>u ch</w:t>
            </w:r>
            <w:r>
              <w:rPr>
                <w:sz w:val="22"/>
                <w:lang w:val="nl-NL"/>
              </w:rPr>
              <w:t>ỉ</w:t>
            </w:r>
            <w:r>
              <w:rPr>
                <w:sz w:val="22"/>
                <w:lang w:val="nl-NL"/>
              </w:rPr>
              <w:t>nh giá đ</w:t>
            </w:r>
            <w:r>
              <w:rPr>
                <w:sz w:val="22"/>
                <w:lang w:val="nl-NL"/>
              </w:rPr>
              <w:t>ấ</w:t>
            </w:r>
            <w:r>
              <w:rPr>
                <w:sz w:val="22"/>
                <w:lang w:val="nl-NL"/>
              </w:rPr>
              <w:t>t;</w:t>
            </w:r>
          </w:p>
          <w:p w:rsidR="005D64F6" w:rsidRDefault="00F60F3F">
            <w:pPr>
              <w:pStyle w:val="BodyTextIndent2"/>
              <w:spacing w:after="0" w:line="240" w:lineRule="auto"/>
              <w:ind w:left="0" w:right="-108"/>
              <w:rPr>
                <w:sz w:val="22"/>
                <w:lang w:val="nl-NL"/>
              </w:rPr>
            </w:pPr>
            <w:r>
              <w:rPr>
                <w:sz w:val="22"/>
                <w:lang w:val="nl-NL"/>
              </w:rPr>
              <w:t>- Các s</w:t>
            </w:r>
            <w:r>
              <w:rPr>
                <w:sz w:val="22"/>
                <w:lang w:val="nl-NL"/>
              </w:rPr>
              <w:t>ở</w:t>
            </w:r>
            <w:r>
              <w:rPr>
                <w:sz w:val="22"/>
                <w:lang w:val="nl-NL"/>
              </w:rPr>
              <w:t>: Tài chính; Tư pháp;</w:t>
            </w:r>
          </w:p>
          <w:p w:rsidR="005D64F6" w:rsidRDefault="00F60F3F">
            <w:pPr>
              <w:pStyle w:val="BodyTextIndent2"/>
              <w:spacing w:after="0" w:line="240" w:lineRule="auto"/>
              <w:ind w:left="0" w:right="-108"/>
              <w:rPr>
                <w:sz w:val="22"/>
                <w:lang w:val="nl-NL"/>
              </w:rPr>
            </w:pPr>
            <w:r>
              <w:rPr>
                <w:sz w:val="22"/>
                <w:lang w:val="nl-NL"/>
              </w:rPr>
              <w:t>- Giám đ</w:t>
            </w:r>
            <w:r>
              <w:rPr>
                <w:sz w:val="22"/>
                <w:lang w:val="nl-NL"/>
              </w:rPr>
              <w:t>ố</w:t>
            </w:r>
            <w:r>
              <w:rPr>
                <w:sz w:val="22"/>
                <w:lang w:val="nl-NL"/>
              </w:rPr>
              <w:t>c, PGĐ s</w:t>
            </w:r>
            <w:r>
              <w:rPr>
                <w:sz w:val="22"/>
                <w:lang w:val="nl-NL"/>
              </w:rPr>
              <w:t>ở</w:t>
            </w:r>
            <w:r>
              <w:rPr>
                <w:sz w:val="22"/>
                <w:lang w:val="nl-NL"/>
              </w:rPr>
              <w:t>;</w:t>
            </w:r>
          </w:p>
          <w:p w:rsidR="005D64F6" w:rsidRDefault="00F60F3F">
            <w:pPr>
              <w:pStyle w:val="BodyTextIndent2"/>
              <w:spacing w:after="0" w:line="240" w:lineRule="auto"/>
              <w:ind w:left="0" w:right="-108"/>
              <w:rPr>
                <w:sz w:val="22"/>
                <w:lang w:val="nl-NL"/>
              </w:rPr>
            </w:pPr>
            <w:r>
              <w:rPr>
                <w:sz w:val="22"/>
                <w:lang w:val="nl-NL"/>
              </w:rPr>
              <w:t>- Trung tâm KTĐC và ĐTNN;</w:t>
            </w:r>
          </w:p>
          <w:p w:rsidR="005D64F6" w:rsidRDefault="00F60F3F">
            <w:pPr>
              <w:pStyle w:val="BodyTextIndent2"/>
              <w:spacing w:after="0" w:line="240" w:lineRule="auto"/>
              <w:ind w:left="0" w:right="-108"/>
              <w:rPr>
                <w:sz w:val="22"/>
                <w:lang w:val="nl-NL"/>
              </w:rPr>
            </w:pPr>
            <w:r>
              <w:rPr>
                <w:sz w:val="22"/>
                <w:lang w:val="nl-NL"/>
              </w:rPr>
              <w:t>- Lưu: VT, QLĐĐ, LTT.</w:t>
            </w:r>
          </w:p>
          <w:p w:rsidR="005D64F6" w:rsidRDefault="005D64F6">
            <w:pPr>
              <w:ind w:right="-108"/>
              <w:rPr>
                <w:szCs w:val="28"/>
                <w:lang w:val="nl-NL"/>
              </w:rPr>
            </w:pPr>
          </w:p>
        </w:tc>
        <w:tc>
          <w:tcPr>
            <w:tcW w:w="3402" w:type="dxa"/>
          </w:tcPr>
          <w:p w:rsidR="005D64F6" w:rsidRDefault="00F60F3F">
            <w:pPr>
              <w:pStyle w:val="BodyTextIndent2"/>
              <w:spacing w:after="0" w:line="240" w:lineRule="auto"/>
              <w:ind w:left="0" w:right="-108"/>
              <w:jc w:val="center"/>
              <w:rPr>
                <w:b/>
                <w:sz w:val="28"/>
                <w:szCs w:val="28"/>
                <w:lang w:val="nl-NL"/>
              </w:rPr>
            </w:pPr>
            <w:r>
              <w:rPr>
                <w:b/>
                <w:sz w:val="28"/>
                <w:szCs w:val="28"/>
                <w:lang w:val="nl-NL"/>
              </w:rPr>
              <w:t>KT.</w:t>
            </w:r>
            <w:r w:rsidR="00B920E3">
              <w:rPr>
                <w:b/>
                <w:sz w:val="28"/>
                <w:szCs w:val="28"/>
                <w:lang w:val="nl-NL"/>
              </w:rPr>
              <w:t xml:space="preserve"> </w:t>
            </w:r>
            <w:r>
              <w:rPr>
                <w:b/>
                <w:sz w:val="28"/>
                <w:szCs w:val="28"/>
                <w:lang w:val="nl-NL"/>
              </w:rPr>
              <w:t>GIÁM Đ</w:t>
            </w:r>
            <w:r>
              <w:rPr>
                <w:b/>
                <w:sz w:val="28"/>
                <w:szCs w:val="28"/>
                <w:lang w:val="nl-NL"/>
              </w:rPr>
              <w:t>Ố</w:t>
            </w:r>
            <w:r>
              <w:rPr>
                <w:b/>
                <w:sz w:val="28"/>
                <w:szCs w:val="28"/>
                <w:lang w:val="nl-NL"/>
              </w:rPr>
              <w:t>C</w:t>
            </w:r>
          </w:p>
          <w:p w:rsidR="005D64F6" w:rsidRDefault="00F60F3F">
            <w:pPr>
              <w:pStyle w:val="BodyTextIndent2"/>
              <w:spacing w:after="0" w:line="240" w:lineRule="auto"/>
              <w:ind w:left="0" w:right="-108"/>
              <w:jc w:val="center"/>
              <w:rPr>
                <w:b/>
                <w:sz w:val="28"/>
                <w:szCs w:val="28"/>
                <w:lang w:val="nl-NL"/>
              </w:rPr>
            </w:pPr>
            <w:r>
              <w:rPr>
                <w:b/>
                <w:sz w:val="28"/>
                <w:szCs w:val="28"/>
                <w:lang w:val="nl-NL"/>
              </w:rPr>
              <w:t xml:space="preserve">PHÓ GIÁM </w:t>
            </w:r>
            <w:r>
              <w:rPr>
                <w:b/>
                <w:sz w:val="28"/>
                <w:szCs w:val="28"/>
                <w:lang w:val="nl-NL"/>
              </w:rPr>
              <w:t>Đ</w:t>
            </w:r>
            <w:r>
              <w:rPr>
                <w:b/>
                <w:sz w:val="28"/>
                <w:szCs w:val="28"/>
                <w:lang w:val="nl-NL"/>
              </w:rPr>
              <w:t>Ố</w:t>
            </w:r>
            <w:r>
              <w:rPr>
                <w:b/>
                <w:sz w:val="28"/>
                <w:szCs w:val="28"/>
                <w:lang w:val="nl-NL"/>
              </w:rPr>
              <w:t>C</w:t>
            </w:r>
          </w:p>
          <w:p w:rsidR="005D64F6" w:rsidRDefault="005D64F6">
            <w:pPr>
              <w:spacing w:before="120" w:line="288" w:lineRule="auto"/>
              <w:ind w:right="-108"/>
              <w:jc w:val="center"/>
              <w:rPr>
                <w:b/>
                <w:szCs w:val="28"/>
                <w:lang w:val="vi-VN"/>
              </w:rPr>
            </w:pPr>
          </w:p>
          <w:p w:rsidR="005D64F6" w:rsidRDefault="005D64F6">
            <w:pPr>
              <w:pStyle w:val="BodyTextIndent2"/>
              <w:spacing w:before="120" w:line="288" w:lineRule="auto"/>
              <w:ind w:left="0" w:right="-108"/>
              <w:jc w:val="center"/>
              <w:rPr>
                <w:b/>
                <w:sz w:val="28"/>
                <w:szCs w:val="28"/>
                <w:lang w:val="nl-NL"/>
              </w:rPr>
            </w:pPr>
          </w:p>
          <w:p w:rsidR="005D64F6" w:rsidRDefault="005D64F6">
            <w:pPr>
              <w:pStyle w:val="BodyTextIndent2"/>
              <w:spacing w:before="120" w:line="288" w:lineRule="auto"/>
              <w:ind w:left="0" w:right="-108"/>
              <w:jc w:val="center"/>
              <w:rPr>
                <w:b/>
                <w:sz w:val="28"/>
                <w:szCs w:val="28"/>
                <w:lang w:val="nl-NL"/>
              </w:rPr>
            </w:pPr>
          </w:p>
          <w:p w:rsidR="005D64F6" w:rsidRDefault="00F60F3F">
            <w:pPr>
              <w:pStyle w:val="BodyTextIndent2"/>
              <w:spacing w:before="120" w:line="288" w:lineRule="auto"/>
              <w:ind w:left="0" w:right="-108"/>
              <w:jc w:val="center"/>
              <w:rPr>
                <w:sz w:val="28"/>
                <w:szCs w:val="28"/>
              </w:rPr>
            </w:pPr>
            <w:r>
              <w:rPr>
                <w:b/>
                <w:sz w:val="28"/>
                <w:szCs w:val="28"/>
              </w:rPr>
              <w:t>Trương Văn Cư</w:t>
            </w:r>
            <w:r>
              <w:rPr>
                <w:b/>
                <w:sz w:val="28"/>
                <w:szCs w:val="28"/>
              </w:rPr>
              <w:t>ờ</w:t>
            </w:r>
            <w:r>
              <w:rPr>
                <w:b/>
                <w:sz w:val="28"/>
                <w:szCs w:val="28"/>
              </w:rPr>
              <w:t>ng</w:t>
            </w:r>
          </w:p>
        </w:tc>
      </w:tr>
    </w:tbl>
    <w:p w:rsidR="005D64F6" w:rsidRDefault="005D64F6">
      <w:pPr>
        <w:widowControl w:val="0"/>
        <w:tabs>
          <w:tab w:val="right" w:leader="dot" w:pos="7920"/>
        </w:tabs>
        <w:spacing w:before="80" w:line="400" w:lineRule="exact"/>
        <w:jc w:val="both"/>
      </w:pPr>
    </w:p>
    <w:p w:rsidR="005D64F6" w:rsidRDefault="005D64F6">
      <w:pPr>
        <w:shd w:val="clear" w:color="auto" w:fill="FFFFFF"/>
        <w:spacing w:before="100"/>
        <w:ind w:firstLine="720"/>
        <w:jc w:val="both"/>
        <w:rPr>
          <w:szCs w:val="28"/>
        </w:rPr>
      </w:pPr>
    </w:p>
    <w:p w:rsidR="005D64F6" w:rsidRDefault="005D64F6">
      <w:pPr>
        <w:rPr>
          <w:b/>
        </w:rPr>
      </w:pPr>
    </w:p>
    <w:sectPr w:rsidR="005D64F6">
      <w:headerReference w:type="default" r:id="rId8"/>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F3F" w:rsidRDefault="00F60F3F">
      <w:r>
        <w:separator/>
      </w:r>
    </w:p>
  </w:endnote>
  <w:endnote w:type="continuationSeparator" w:id="0">
    <w:p w:rsidR="00F60F3F" w:rsidRDefault="00F60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F3F" w:rsidRDefault="00F60F3F">
      <w:r>
        <w:separator/>
      </w:r>
    </w:p>
  </w:footnote>
  <w:footnote w:type="continuationSeparator" w:id="0">
    <w:p w:rsidR="00F60F3F" w:rsidRDefault="00F60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4F6" w:rsidRDefault="00F60F3F">
    <w:pPr>
      <w:pStyle w:val="Header"/>
      <w:jc w:val="center"/>
    </w:pPr>
    <w:r>
      <w:fldChar w:fldCharType="begin"/>
    </w:r>
    <w:r>
      <w:instrText xml:space="preserve"> PAGE   \* MERGEFORMAT </w:instrText>
    </w:r>
    <w:r>
      <w:fldChar w:fldCharType="separate"/>
    </w:r>
    <w:r w:rsidR="00C7433B">
      <w:rPr>
        <w:noProof/>
      </w:rPr>
      <w:t>5</w:t>
    </w:r>
    <w:r>
      <w:rPr>
        <w:noProof/>
      </w:rPr>
      <w:fldChar w:fldCharType="end"/>
    </w:r>
  </w:p>
  <w:p w:rsidR="005D64F6" w:rsidRDefault="005D64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0AB2"/>
    <w:multiLevelType w:val="hybridMultilevel"/>
    <w:tmpl w:val="C65C6F22"/>
    <w:lvl w:ilvl="0" w:tplc="22380616">
      <w:start w:val="1"/>
      <w:numFmt w:val="decimal"/>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3132275"/>
    <w:multiLevelType w:val="hybridMultilevel"/>
    <w:tmpl w:val="B6AEB44A"/>
    <w:lvl w:ilvl="0" w:tplc="3294A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AE6582"/>
    <w:multiLevelType w:val="hybridMultilevel"/>
    <w:tmpl w:val="6F521950"/>
    <w:lvl w:ilvl="0" w:tplc="343E9D98">
      <w:start w:val="1"/>
      <w:numFmt w:val="decimal"/>
      <w:lvlText w:val="%1."/>
      <w:lvlJc w:val="left"/>
      <w:pPr>
        <w:ind w:left="92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DD0312"/>
    <w:multiLevelType w:val="hybridMultilevel"/>
    <w:tmpl w:val="FE5CB2F4"/>
    <w:lvl w:ilvl="0" w:tplc="D12E8B00">
      <w:start w:val="1"/>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7F2677"/>
    <w:multiLevelType w:val="multilevel"/>
    <w:tmpl w:val="C7ACA3B2"/>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3781E11"/>
    <w:multiLevelType w:val="hybridMultilevel"/>
    <w:tmpl w:val="232A58C6"/>
    <w:lvl w:ilvl="0" w:tplc="3F3A23D6">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6" w15:restartNumberingAfterBreak="0">
    <w:nsid w:val="1B0674CA"/>
    <w:multiLevelType w:val="hybridMultilevel"/>
    <w:tmpl w:val="8E666C26"/>
    <w:lvl w:ilvl="0" w:tplc="217E3B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C6161D1"/>
    <w:multiLevelType w:val="hybridMultilevel"/>
    <w:tmpl w:val="88C6AC18"/>
    <w:lvl w:ilvl="0" w:tplc="B09CC5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FAE01AA"/>
    <w:multiLevelType w:val="multilevel"/>
    <w:tmpl w:val="27624BB0"/>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3047621C"/>
    <w:multiLevelType w:val="hybridMultilevel"/>
    <w:tmpl w:val="C364653C"/>
    <w:lvl w:ilvl="0" w:tplc="0DEC5BA8">
      <w:start w:val="2"/>
      <w:numFmt w:val="bullet"/>
      <w:lvlText w:val="-"/>
      <w:lvlJc w:val="left"/>
      <w:pPr>
        <w:ind w:left="720" w:hanging="360"/>
      </w:pPr>
      <w:rPr>
        <w:rFonts w:ascii="Times New Roman" w:eastAsia="Times New Roman"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261FB0"/>
    <w:multiLevelType w:val="hybridMultilevel"/>
    <w:tmpl w:val="A61C219C"/>
    <w:lvl w:ilvl="0" w:tplc="85BCF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3C6A4F"/>
    <w:multiLevelType w:val="hybridMultilevel"/>
    <w:tmpl w:val="CEF2B276"/>
    <w:lvl w:ilvl="0" w:tplc="7BFC18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5760D0"/>
    <w:multiLevelType w:val="hybridMultilevel"/>
    <w:tmpl w:val="8A1E4AB2"/>
    <w:lvl w:ilvl="0" w:tplc="EC2E57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9937AC"/>
    <w:multiLevelType w:val="hybridMultilevel"/>
    <w:tmpl w:val="E55CB010"/>
    <w:lvl w:ilvl="0" w:tplc="CE669A4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4287BD2"/>
    <w:multiLevelType w:val="hybridMultilevel"/>
    <w:tmpl w:val="A2369C2E"/>
    <w:lvl w:ilvl="0" w:tplc="5B46E6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E6E2346"/>
    <w:multiLevelType w:val="hybridMultilevel"/>
    <w:tmpl w:val="D7B4B114"/>
    <w:lvl w:ilvl="0" w:tplc="AEC0B240">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5C5F87"/>
    <w:multiLevelType w:val="hybridMultilevel"/>
    <w:tmpl w:val="4FF85B42"/>
    <w:lvl w:ilvl="0" w:tplc="69208C3C">
      <w:start w:val="1"/>
      <w:numFmt w:val="decimal"/>
      <w:lvlText w:val="(%1)"/>
      <w:lvlJc w:val="left"/>
      <w:pPr>
        <w:ind w:left="1017" w:hanging="39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7" w15:restartNumberingAfterBreak="0">
    <w:nsid w:val="671D7E00"/>
    <w:multiLevelType w:val="hybridMultilevel"/>
    <w:tmpl w:val="086C7E34"/>
    <w:lvl w:ilvl="0" w:tplc="956E36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5AF16A2"/>
    <w:multiLevelType w:val="hybridMultilevel"/>
    <w:tmpl w:val="13888D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7444A8E"/>
    <w:multiLevelType w:val="hybridMultilevel"/>
    <w:tmpl w:val="232A58C6"/>
    <w:lvl w:ilvl="0" w:tplc="3F3A23D6">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0" w15:restartNumberingAfterBreak="0">
    <w:nsid w:val="774B4493"/>
    <w:multiLevelType w:val="hybridMultilevel"/>
    <w:tmpl w:val="C78CEFC8"/>
    <w:lvl w:ilvl="0" w:tplc="4A9480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A8A4ECA"/>
    <w:multiLevelType w:val="hybridMultilevel"/>
    <w:tmpl w:val="281868AE"/>
    <w:lvl w:ilvl="0" w:tplc="52F606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1"/>
  </w:num>
  <w:num w:numId="3">
    <w:abstractNumId w:val="9"/>
  </w:num>
  <w:num w:numId="4">
    <w:abstractNumId w:val="18"/>
  </w:num>
  <w:num w:numId="5">
    <w:abstractNumId w:val="13"/>
  </w:num>
  <w:num w:numId="6">
    <w:abstractNumId w:val="19"/>
  </w:num>
  <w:num w:numId="7">
    <w:abstractNumId w:val="5"/>
  </w:num>
  <w:num w:numId="8">
    <w:abstractNumId w:val="11"/>
  </w:num>
  <w:num w:numId="9">
    <w:abstractNumId w:val="20"/>
  </w:num>
  <w:num w:numId="10">
    <w:abstractNumId w:val="2"/>
  </w:num>
  <w:num w:numId="11">
    <w:abstractNumId w:val="12"/>
  </w:num>
  <w:num w:numId="12">
    <w:abstractNumId w:val="0"/>
  </w:num>
  <w:num w:numId="13">
    <w:abstractNumId w:val="15"/>
  </w:num>
  <w:num w:numId="14">
    <w:abstractNumId w:val="14"/>
  </w:num>
  <w:num w:numId="15">
    <w:abstractNumId w:val="16"/>
  </w:num>
  <w:num w:numId="16">
    <w:abstractNumId w:val="17"/>
  </w:num>
  <w:num w:numId="17">
    <w:abstractNumId w:val="3"/>
  </w:num>
  <w:num w:numId="18">
    <w:abstractNumId w:val="6"/>
  </w:num>
  <w:num w:numId="19">
    <w:abstractNumId w:val="8"/>
  </w:num>
  <w:num w:numId="20">
    <w:abstractNumId w:val="4"/>
  </w:num>
  <w:num w:numId="21">
    <w:abstractNumId w:val="10"/>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4F6"/>
    <w:rsid w:val="00137274"/>
    <w:rsid w:val="003D7201"/>
    <w:rsid w:val="00454B65"/>
    <w:rsid w:val="005062C5"/>
    <w:rsid w:val="005D64F6"/>
    <w:rsid w:val="00B21280"/>
    <w:rsid w:val="00B920E3"/>
    <w:rsid w:val="00C7433B"/>
    <w:rsid w:val="00D21B2C"/>
    <w:rsid w:val="00F2098A"/>
    <w:rsid w:val="00F45597"/>
    <w:rsid w:val="00F60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959C1"/>
  <w15:docId w15:val="{32864699-322A-4C4B-9297-32C29673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8"/>
      <w:szCs w:val="24"/>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E74B5"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pPr>
      <w:outlineLvl w:val="0"/>
    </w:pPr>
    <w:rPr>
      <w:rFonts w:ascii="Times New Roman" w:eastAsia="Arial Unicode MS" w:hAnsi="Times New Roman"/>
      <w:color w:val="000000"/>
      <w:sz w:val="24"/>
      <w:u w:color="000000"/>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rPr>
  </w:style>
  <w:style w:type="table" w:styleId="TableGrid">
    <w:name w:val="Table Grid"/>
    <w:basedOn w:val="TableNormal"/>
    <w:uiPriority w:val="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rPr>
      <w:szCs w:val="28"/>
    </w:rPr>
  </w:style>
  <w:style w:type="paragraph" w:customStyle="1" w:styleId="Char1CharCharCharCharCharCharCharCharCharCharCharCharCharCharCharChar1CharChar">
    <w:name w:val="Char1 Char Char Char Char Char Char Char Char Char Char Char Char Char Char Char Char1 Char Char"/>
    <w:basedOn w:val="Normal"/>
    <w:pPr>
      <w:widowControl w:val="0"/>
      <w:jc w:val="both"/>
    </w:pPr>
    <w:rPr>
      <w:rFonts w:eastAsia="SimSun"/>
      <w:kern w:val="2"/>
      <w:sz w:val="24"/>
      <w:szCs w:val="26"/>
      <w:lang w:eastAsia="zh-CN"/>
    </w:rPr>
  </w:style>
  <w:style w:type="character" w:customStyle="1" w:styleId="fontstyle01">
    <w:name w:val="fontstyle01"/>
    <w:qFormat/>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pPr>
      <w:tabs>
        <w:tab w:val="center" w:pos="4680"/>
        <w:tab w:val="right" w:pos="9360"/>
      </w:tabs>
    </w:pPr>
    <w:rPr>
      <w:szCs w:val="28"/>
    </w:rPr>
  </w:style>
  <w:style w:type="character" w:customStyle="1" w:styleId="HeaderChar">
    <w:name w:val="Header Char"/>
    <w:link w:val="Header"/>
    <w:uiPriority w:val="99"/>
    <w:rPr>
      <w:rFonts w:ascii="Times New Roman" w:eastAsia="Times New Roman" w:hAnsi="Times New Roman"/>
      <w:sz w:val="28"/>
      <w:szCs w:val="28"/>
    </w:rPr>
  </w:style>
  <w:style w:type="paragraph" w:styleId="Footer">
    <w:name w:val="footer"/>
    <w:basedOn w:val="Normal"/>
    <w:link w:val="FooterChar"/>
    <w:uiPriority w:val="99"/>
    <w:unhideWhenUsed/>
    <w:pPr>
      <w:tabs>
        <w:tab w:val="center" w:pos="4680"/>
        <w:tab w:val="right" w:pos="9360"/>
      </w:tabs>
    </w:pPr>
    <w:rPr>
      <w:szCs w:val="28"/>
    </w:rPr>
  </w:style>
  <w:style w:type="character" w:customStyle="1" w:styleId="FooterChar">
    <w:name w:val="Footer Char"/>
    <w:link w:val="Footer"/>
    <w:uiPriority w:val="99"/>
    <w:rPr>
      <w:rFonts w:ascii="Times New Roman" w:eastAsia="Times New Roman" w:hAnsi="Times New Roman"/>
      <w:sz w:val="28"/>
      <w:szCs w:val="28"/>
    </w:rPr>
  </w:style>
  <w:style w:type="paragraph" w:styleId="NormalWeb">
    <w:name w:val="Normal (Web)"/>
    <w:basedOn w:val="Normal"/>
    <w:link w:val="NormalWebChar"/>
    <w:uiPriority w:val="99"/>
    <w:unhideWhenUsed/>
    <w:qFormat/>
    <w:pPr>
      <w:spacing w:before="100" w:beforeAutospacing="1" w:after="100" w:afterAutospacing="1"/>
    </w:pPr>
    <w:rPr>
      <w:sz w:val="24"/>
    </w:rPr>
  </w:style>
  <w:style w:type="paragraph" w:styleId="BodyTextIndent">
    <w:name w:val="Body Text Indent"/>
    <w:basedOn w:val="Normal"/>
    <w:link w:val="BodyTextIndentChar"/>
    <w:pPr>
      <w:spacing w:after="120"/>
      <w:ind w:left="283"/>
    </w:pPr>
    <w:rPr>
      <w:rFonts w:ascii=".VnTime" w:hAnsi=".VnTime"/>
      <w:szCs w:val="28"/>
    </w:rPr>
  </w:style>
  <w:style w:type="character" w:customStyle="1" w:styleId="BodyTextIndentChar">
    <w:name w:val="Body Text Indent Char"/>
    <w:basedOn w:val="DefaultParagraphFont"/>
    <w:link w:val="BodyTextIndent"/>
    <w:rPr>
      <w:rFonts w:ascii=".VnTime" w:eastAsia="Times New Roman" w:hAnsi=".VnTime"/>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uiPriority w:val="99"/>
    <w:unhideWhenUsed/>
    <w:qFormat/>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Pr>
      <w:rFonts w:ascii="Times New Roman" w:eastAsia="Times New Roman" w:hAnsi="Times New Roman"/>
    </w:rPr>
  </w:style>
  <w:style w:type="character" w:styleId="FootnoteReference">
    <w:name w:val="footnote reference"/>
    <w:aliases w:val="Footnote,Footnote text,SUPERS,Footnote dich,ftref,(NECG) Footnote Reference,16 Point,Superscript 6 Point,Footnote + Arial,10 pt,Black,fr,BVI fnr,footnote ref,Footnote Reference Number,Знак сноски 1,Ref,de nota al pie,R,f,BearingPoint"/>
    <w:basedOn w:val="DefaultParagraphFont"/>
    <w:link w:val="CharChar1CharCharCharChar1CharCharCharCharCharCharCharChar"/>
    <w:uiPriority w:val="99"/>
    <w:unhideWhenUsed/>
    <w:qFormat/>
    <w:rPr>
      <w:vertAlign w:val="superscript"/>
    </w:rPr>
  </w:style>
  <w:style w:type="character" w:customStyle="1" w:styleId="NormalWebChar">
    <w:name w:val="Normal (Web) Char"/>
    <w:link w:val="NormalWeb"/>
    <w:uiPriority w:val="99"/>
    <w:qFormat/>
    <w:locked/>
    <w:rPr>
      <w:rFonts w:ascii="Times New Roman" w:eastAsia="Times New Roman" w:hAnsi="Times New Roman"/>
      <w:sz w:val="24"/>
      <w:szCs w:val="24"/>
    </w:rPr>
  </w:style>
  <w:style w:type="paragraph" w:styleId="Revision">
    <w:name w:val="Revision"/>
    <w:hidden/>
    <w:uiPriority w:val="99"/>
    <w:semiHidden/>
    <w:rPr>
      <w:rFonts w:ascii="Times New Roman" w:eastAsia="Times New Roman" w:hAnsi="Times New Roman"/>
      <w:sz w:val="28"/>
      <w:szCs w:val="24"/>
    </w:rPr>
  </w:style>
  <w:style w:type="paragraph" w:styleId="BlockText">
    <w:name w:val="Block Text"/>
    <w:basedOn w:val="Normal"/>
    <w:pPr>
      <w:tabs>
        <w:tab w:val="center" w:pos="1134"/>
        <w:tab w:val="center" w:pos="7371"/>
      </w:tabs>
      <w:ind w:left="-851" w:right="-568"/>
    </w:pPr>
    <w:rPr>
      <w:szCs w:val="20"/>
    </w:rPr>
  </w:style>
  <w:style w:type="paragraph" w:styleId="BodyTextIndent2">
    <w:name w:val="Body Text Indent 2"/>
    <w:basedOn w:val="Normal"/>
    <w:link w:val="BodyTextIndent2Char"/>
    <w:pPr>
      <w:spacing w:after="120" w:line="480" w:lineRule="auto"/>
      <w:ind w:left="360"/>
      <w:jc w:val="both"/>
    </w:pPr>
    <w:rPr>
      <w:rFonts w:eastAsia="Calibri"/>
      <w:sz w:val="26"/>
      <w:szCs w:val="22"/>
    </w:rPr>
  </w:style>
  <w:style w:type="character" w:customStyle="1" w:styleId="BodyTextIndent2Char">
    <w:name w:val="Body Text Indent 2 Char"/>
    <w:basedOn w:val="DefaultParagraphFont"/>
    <w:link w:val="BodyTextIndent2"/>
    <w:rPr>
      <w:rFonts w:ascii="Times New Roman" w:hAnsi="Times New Roman"/>
      <w:sz w:val="26"/>
      <w:szCs w:val="22"/>
    </w:rPr>
  </w:style>
  <w:style w:type="paragraph" w:customStyle="1" w:styleId="x-scope">
    <w:name w:val="x-scope"/>
    <w:basedOn w:val="Normal"/>
    <w:pPr>
      <w:spacing w:before="100" w:beforeAutospacing="1" w:after="100" w:afterAutospacing="1"/>
    </w:pPr>
    <w:rPr>
      <w:sz w:val="24"/>
    </w:rPr>
  </w:style>
  <w:style w:type="paragraph" w:customStyle="1" w:styleId="Default">
    <w:name w:val="Default"/>
    <w:pPr>
      <w:autoSpaceDE w:val="0"/>
      <w:autoSpaceDN w:val="0"/>
      <w:adjustRightInd w:val="0"/>
    </w:pPr>
    <w:rPr>
      <w:rFonts w:ascii="Times New Roman" w:eastAsiaTheme="minorHAnsi" w:hAnsi="Times New Roman"/>
      <w:color w:val="000000"/>
      <w:sz w:val="24"/>
      <w:szCs w:val="24"/>
    </w:rPr>
  </w:style>
  <w:style w:type="paragraph" w:customStyle="1" w:styleId="qowt-stl-normal">
    <w:name w:val="qowt-stl-normal"/>
    <w:basedOn w:val="Normal"/>
    <w:pPr>
      <w:spacing w:before="100" w:beforeAutospacing="1" w:after="100" w:afterAutospacing="1"/>
    </w:pPr>
    <w:rPr>
      <w:sz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spacing w:after="160" w:line="240" w:lineRule="exact"/>
    </w:pPr>
    <w:rPr>
      <w:rFonts w:ascii="Calibri" w:eastAsia="Calibri" w:hAnsi="Calibri"/>
      <w:sz w:val="20"/>
      <w:szCs w:val="20"/>
      <w:vertAlign w:val="superscript"/>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sz w:val="28"/>
      <w:szCs w:val="28"/>
    </w:rPr>
  </w:style>
  <w:style w:type="paragraph" w:styleId="BodyText3">
    <w:name w:val="Body Text 3"/>
    <w:basedOn w:val="Normal"/>
    <w:link w:val="BodyText3Char"/>
    <w:pPr>
      <w:spacing w:after="120"/>
    </w:pPr>
    <w:rPr>
      <w:sz w:val="16"/>
      <w:szCs w:val="16"/>
    </w:rPr>
  </w:style>
  <w:style w:type="character" w:customStyle="1" w:styleId="BodyText3Char">
    <w:name w:val="Body Text 3 Char"/>
    <w:basedOn w:val="DefaultParagraphFont"/>
    <w:link w:val="BodyText3"/>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147">
      <w:bodyDiv w:val="1"/>
      <w:marLeft w:val="0"/>
      <w:marRight w:val="0"/>
      <w:marTop w:val="0"/>
      <w:marBottom w:val="0"/>
      <w:divBdr>
        <w:top w:val="none" w:sz="0" w:space="0" w:color="auto"/>
        <w:left w:val="none" w:sz="0" w:space="0" w:color="auto"/>
        <w:bottom w:val="none" w:sz="0" w:space="0" w:color="auto"/>
        <w:right w:val="none" w:sz="0" w:space="0" w:color="auto"/>
      </w:divBdr>
    </w:div>
    <w:div w:id="305087775">
      <w:bodyDiv w:val="1"/>
      <w:marLeft w:val="0"/>
      <w:marRight w:val="0"/>
      <w:marTop w:val="0"/>
      <w:marBottom w:val="0"/>
      <w:divBdr>
        <w:top w:val="none" w:sz="0" w:space="0" w:color="auto"/>
        <w:left w:val="none" w:sz="0" w:space="0" w:color="auto"/>
        <w:bottom w:val="none" w:sz="0" w:space="0" w:color="auto"/>
        <w:right w:val="none" w:sz="0" w:space="0" w:color="auto"/>
      </w:divBdr>
    </w:div>
    <w:div w:id="632633145">
      <w:bodyDiv w:val="1"/>
      <w:marLeft w:val="0"/>
      <w:marRight w:val="0"/>
      <w:marTop w:val="0"/>
      <w:marBottom w:val="0"/>
      <w:divBdr>
        <w:top w:val="none" w:sz="0" w:space="0" w:color="auto"/>
        <w:left w:val="none" w:sz="0" w:space="0" w:color="auto"/>
        <w:bottom w:val="none" w:sz="0" w:space="0" w:color="auto"/>
        <w:right w:val="none" w:sz="0" w:space="0" w:color="auto"/>
      </w:divBdr>
    </w:div>
    <w:div w:id="719329572">
      <w:bodyDiv w:val="1"/>
      <w:marLeft w:val="0"/>
      <w:marRight w:val="0"/>
      <w:marTop w:val="0"/>
      <w:marBottom w:val="0"/>
      <w:divBdr>
        <w:top w:val="none" w:sz="0" w:space="0" w:color="auto"/>
        <w:left w:val="none" w:sz="0" w:space="0" w:color="auto"/>
        <w:bottom w:val="none" w:sz="0" w:space="0" w:color="auto"/>
        <w:right w:val="none" w:sz="0" w:space="0" w:color="auto"/>
      </w:divBdr>
    </w:div>
    <w:div w:id="1292908084">
      <w:bodyDiv w:val="1"/>
      <w:marLeft w:val="0"/>
      <w:marRight w:val="0"/>
      <w:marTop w:val="0"/>
      <w:marBottom w:val="0"/>
      <w:divBdr>
        <w:top w:val="none" w:sz="0" w:space="0" w:color="auto"/>
        <w:left w:val="none" w:sz="0" w:space="0" w:color="auto"/>
        <w:bottom w:val="none" w:sz="0" w:space="0" w:color="auto"/>
        <w:right w:val="none" w:sz="0" w:space="0" w:color="auto"/>
      </w:divBdr>
    </w:div>
    <w:div w:id="1596547138">
      <w:bodyDiv w:val="1"/>
      <w:marLeft w:val="0"/>
      <w:marRight w:val="0"/>
      <w:marTop w:val="0"/>
      <w:marBottom w:val="0"/>
      <w:divBdr>
        <w:top w:val="none" w:sz="0" w:space="0" w:color="auto"/>
        <w:left w:val="none" w:sz="0" w:space="0" w:color="auto"/>
        <w:bottom w:val="none" w:sz="0" w:space="0" w:color="auto"/>
        <w:right w:val="none" w:sz="0" w:space="0" w:color="auto"/>
      </w:divBdr>
    </w:div>
    <w:div w:id="19057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74CA4-78FC-4F63-BE37-43088DCD0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Phòng Đất đai 1 - Sở Tài Nguyên và Môi trường</vt:lpstr>
    </vt:vector>
  </TitlesOfParts>
  <Company>home</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Đất đai 1 - Sở Tài Nguyên và Môi trường</dc:title>
  <dc:creator>thanhsen</dc:creator>
  <cp:lastModifiedBy>Windows User</cp:lastModifiedBy>
  <cp:revision>52</cp:revision>
  <cp:lastPrinted>2024-04-15T03:48:00Z</cp:lastPrinted>
  <dcterms:created xsi:type="dcterms:W3CDTF">2026-06-04T08:52:00Z</dcterms:created>
  <dcterms:modified xsi:type="dcterms:W3CDTF">2026-06-05T07:02:00Z</dcterms:modified>
</cp:coreProperties>
</file>